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8247C" w14:textId="7E2CA840"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B026E9" w:rsidRPr="00B026E9">
        <w:rPr>
          <w:rFonts w:ascii="Arial" w:eastAsia="SimSun" w:hAnsi="Arial" w:cs="Times New Roman"/>
          <w:b/>
          <w:bCs/>
          <w:sz w:val="24"/>
          <w:szCs w:val="20"/>
          <w:lang w:val="en-US" w:eastAsia="ja-JP"/>
        </w:rPr>
        <w:t>R4-2405749</w:t>
      </w:r>
    </w:p>
    <w:p w14:paraId="37FC618B"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836E9A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DAFD6C3"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DCEB7CD" w14:textId="2481DC51"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CA1D00">
        <w:rPr>
          <w:rFonts w:ascii="Arial" w:eastAsia="Calibri" w:hAnsi="Arial" w:cs="Arial"/>
          <w:b/>
          <w:bCs/>
          <w:sz w:val="24"/>
          <w:lang w:val="en-US"/>
        </w:rPr>
        <w:t>Considerations on Timing Adjustments for FR2-NTN</w:t>
      </w:r>
    </w:p>
    <w:p w14:paraId="7E6E1FD1" w14:textId="3E1CF068" w:rsidR="00841BCD" w:rsidRPr="00CA1D00" w:rsidRDefault="00841BCD" w:rsidP="00841BCD">
      <w:pPr>
        <w:tabs>
          <w:tab w:val="left" w:pos="1985"/>
        </w:tabs>
        <w:spacing w:after="120" w:line="240" w:lineRule="auto"/>
        <w:rPr>
          <w:rFonts w:ascii="Arial" w:eastAsia="MS Mincho" w:hAnsi="Arial" w:cs="Arial"/>
          <w:b/>
          <w:bCs/>
          <w:sz w:val="24"/>
          <w:szCs w:val="20"/>
          <w:lang w:val="pt-BR"/>
        </w:rPr>
      </w:pPr>
      <w:r w:rsidRPr="00CA1D00">
        <w:rPr>
          <w:rFonts w:ascii="Arial" w:eastAsia="MS Mincho" w:hAnsi="Arial" w:cs="Arial"/>
          <w:b/>
          <w:bCs/>
          <w:sz w:val="24"/>
          <w:szCs w:val="20"/>
          <w:lang w:val="pt-BR"/>
        </w:rPr>
        <w:t>Agenda item:</w:t>
      </w:r>
      <w:r w:rsidRPr="00CA1D00">
        <w:rPr>
          <w:rFonts w:ascii="Arial" w:eastAsia="MS Mincho" w:hAnsi="Arial" w:cs="Arial"/>
          <w:b/>
          <w:bCs/>
          <w:sz w:val="24"/>
          <w:szCs w:val="20"/>
          <w:lang w:val="pt-BR"/>
        </w:rPr>
        <w:tab/>
      </w:r>
      <w:r w:rsidR="00CA1D00" w:rsidRPr="00CA1D00">
        <w:rPr>
          <w:rFonts w:ascii="Arial" w:eastAsia="MS Mincho" w:hAnsi="Arial" w:cs="Arial"/>
          <w:b/>
          <w:bCs/>
          <w:sz w:val="24"/>
          <w:szCs w:val="20"/>
          <w:lang w:val="pt-BR"/>
        </w:rPr>
        <w:t>6.16.6.1</w:t>
      </w:r>
    </w:p>
    <w:p w14:paraId="61C787F0"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EB6FB7F" w14:textId="77777777" w:rsidR="00E323E9" w:rsidRPr="00614DD8" w:rsidRDefault="00E323E9" w:rsidP="00841BCD">
      <w:pPr>
        <w:tabs>
          <w:tab w:val="left" w:pos="1985"/>
        </w:tabs>
        <w:rPr>
          <w:rFonts w:ascii="Arial" w:eastAsia="Calibri" w:hAnsi="Arial" w:cs="Arial"/>
          <w:b/>
          <w:bCs/>
          <w:sz w:val="24"/>
          <w:lang w:val="en-US"/>
        </w:rPr>
      </w:pPr>
    </w:p>
    <w:p w14:paraId="0CDB13E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B973373" w14:textId="5976197B" w:rsidR="00381F95" w:rsidRPr="00B501F7" w:rsidRDefault="00CA1D00" w:rsidP="005C23A4">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 In previous meetings, it became clear that the timing pre-compensation might be an issue for the operation above 10 GHz, as the duration of the cyclic prefix becomes smaller</w:t>
      </w:r>
      <w:r>
        <w:fldChar w:fldCharType="begin"/>
      </w:r>
      <w:r>
        <w:instrText xml:space="preserve"> REF _Ref141279811 \r \h </w:instrText>
      </w:r>
      <w:r w:rsidR="000E3505">
        <w:fldChar w:fldCharType="separate"/>
      </w:r>
      <w:r>
        <w:fldChar w:fldCharType="end"/>
      </w:r>
      <w:r>
        <w:t xml:space="preserve">. In the previous meetings, RAN4 has reached agreements on the transmit timing accuracy for scenarios where the UE is “fixed”, but for the scenarios where the UE is “mobile”, there is a tentative agreement in place. </w:t>
      </w:r>
      <w:r w:rsidR="00B501F7">
        <w:t xml:space="preserve">The current contribution discuss this tentative agreement, and the issues related to the update of UE autonomous timing compensation. </w:t>
      </w:r>
    </w:p>
    <w:p w14:paraId="029D94E7" w14:textId="2808AD16" w:rsidR="0060543D" w:rsidRPr="00614DD8" w:rsidRDefault="001B1EA8" w:rsidP="005C23A4">
      <w:pPr>
        <w:rPr>
          <w:lang w:val="en-US"/>
        </w:rPr>
      </w:pPr>
      <w:r w:rsidRPr="00614DD8">
        <w:rPr>
          <w:lang w:val="en-US"/>
        </w:rPr>
        <w:t>Agreements</w:t>
      </w:r>
      <w:r w:rsidR="00B501F7">
        <w:rPr>
          <w:lang w:val="en-US"/>
        </w:rPr>
        <w:t xml:space="preserve">  from RAN4 #110 </w:t>
      </w:r>
      <w:r w:rsidR="00B501F7">
        <w:rPr>
          <w:lang w:val="en-US"/>
        </w:rPr>
        <w:fldChar w:fldCharType="begin"/>
      </w:r>
      <w:r w:rsidR="00B501F7">
        <w:rPr>
          <w:lang w:val="en-US"/>
        </w:rPr>
        <w:instrText xml:space="preserve"> REF _Ref163464365 \r \h </w:instrText>
      </w:r>
      <w:r w:rsidR="00B501F7">
        <w:rPr>
          <w:lang w:val="en-US"/>
        </w:rPr>
      </w:r>
      <w:r w:rsidR="00B501F7">
        <w:rPr>
          <w:lang w:val="en-US"/>
        </w:rPr>
        <w:fldChar w:fldCharType="separate"/>
      </w:r>
      <w:r w:rsidR="00B501F7">
        <w:rPr>
          <w:lang w:val="en-US"/>
        </w:rPr>
        <w:t>[3]</w:t>
      </w:r>
      <w:r w:rsidR="00B501F7">
        <w:rPr>
          <w:lang w:val="en-US"/>
        </w:rPr>
        <w:fldChar w:fldCharType="end"/>
      </w:r>
      <w:r w:rsidRPr="00614DD8">
        <w:rPr>
          <w:lang w:val="en-US"/>
        </w:rPr>
        <w:t>:</w:t>
      </w:r>
    </w:p>
    <w:tbl>
      <w:tblPr>
        <w:tblStyle w:val="TableGrid"/>
        <w:tblW w:w="0" w:type="auto"/>
        <w:tblLook w:val="04A0" w:firstRow="1" w:lastRow="0" w:firstColumn="1" w:lastColumn="0" w:noHBand="0" w:noVBand="1"/>
      </w:tblPr>
      <w:tblGrid>
        <w:gridCol w:w="9617"/>
      </w:tblGrid>
      <w:tr w:rsidR="001B1EA8" w:rsidRPr="00614DD8" w14:paraId="30228CE1" w14:textId="77777777" w:rsidTr="001B1EA8">
        <w:tc>
          <w:tcPr>
            <w:tcW w:w="9617" w:type="dxa"/>
          </w:tcPr>
          <w:p w14:paraId="72661863" w14:textId="77777777" w:rsidR="001B1EA8" w:rsidRPr="00614DD8" w:rsidRDefault="001B1EA8" w:rsidP="005C23A4">
            <w:pPr>
              <w:rPr>
                <w:lang w:val="en-US"/>
              </w:rPr>
            </w:pPr>
          </w:p>
          <w:p w14:paraId="6284C84B" w14:textId="77777777" w:rsidR="00B501F7" w:rsidRPr="009E3E83" w:rsidRDefault="00B501F7" w:rsidP="00B501F7">
            <w:pPr>
              <w:outlineLvl w:val="2"/>
              <w:rPr>
                <w:b/>
                <w:u w:val="single"/>
                <w:lang w:eastAsia="ko-KR"/>
              </w:rPr>
            </w:pPr>
            <w:bookmarkStart w:id="4" w:name="_Hlk151008787"/>
            <w:r w:rsidRPr="009E3E83">
              <w:rPr>
                <w:b/>
                <w:u w:val="single"/>
                <w:lang w:eastAsia="ko-KR"/>
              </w:rPr>
              <w:t xml:space="preserve">Issue 1-6A: </w:t>
            </w:r>
            <w:proofErr w:type="spellStart"/>
            <w:r w:rsidRPr="009E3E83">
              <w:rPr>
                <w:b/>
                <w:u w:val="single"/>
                <w:lang w:eastAsia="ko-KR"/>
              </w:rPr>
              <w:t>Te_NTN</w:t>
            </w:r>
            <w:proofErr w:type="spellEnd"/>
            <w:r w:rsidRPr="009E3E83">
              <w:rPr>
                <w:b/>
                <w:u w:val="single"/>
                <w:lang w:eastAsia="ko-KR"/>
              </w:rPr>
              <w:t xml:space="preserve"> for 60kHz and 120kHz in Case2</w:t>
            </w:r>
          </w:p>
          <w:p w14:paraId="1B04D125" w14:textId="77777777" w:rsidR="00B501F7" w:rsidRPr="009E3E83" w:rsidRDefault="00B501F7" w:rsidP="00B501F7">
            <w:pPr>
              <w:spacing w:after="120" w:line="252" w:lineRule="auto"/>
              <w:ind w:firstLine="284"/>
              <w:rPr>
                <w:b/>
                <w:bCs/>
                <w:highlight w:val="green"/>
                <w:u w:val="single"/>
                <w:lang w:eastAsia="ja-JP"/>
              </w:rPr>
            </w:pPr>
            <w:r w:rsidRPr="009E3E83">
              <w:rPr>
                <w:b/>
                <w:bCs/>
                <w:highlight w:val="green"/>
                <w:u w:val="single"/>
                <w:lang w:eastAsia="ja-JP"/>
              </w:rPr>
              <w:t>Agreement: (ad-hoc agreement)</w:t>
            </w:r>
          </w:p>
          <w:bookmarkEnd w:id="4"/>
          <w:p w14:paraId="22D84180" w14:textId="77777777" w:rsidR="00B501F7" w:rsidRPr="009E3E83" w:rsidRDefault="00B501F7" w:rsidP="00B501F7">
            <w:pPr>
              <w:pStyle w:val="ListParagraph"/>
              <w:numPr>
                <w:ilvl w:val="0"/>
                <w:numId w:val="27"/>
              </w:numPr>
              <w:overflowPunct w:val="0"/>
              <w:autoSpaceDE w:val="0"/>
              <w:autoSpaceDN w:val="0"/>
              <w:adjustRightInd w:val="0"/>
              <w:spacing w:after="180" w:line="276" w:lineRule="auto"/>
              <w:ind w:left="644"/>
              <w:contextualSpacing w:val="0"/>
              <w:textAlignment w:val="baseline"/>
              <w:rPr>
                <w:lang w:eastAsia="ja-JP"/>
              </w:rPr>
            </w:pPr>
            <w:r w:rsidRPr="009E3E83">
              <w:rPr>
                <w:lang w:eastAsia="ja-JP"/>
              </w:rPr>
              <w:t>For 120kHz of UL SCS in case2, the requirements are applicable only if the ephemeris information be refreshed (i.e. update rate of ephemeris information in SIB19) at least every X seconds.</w:t>
            </w:r>
          </w:p>
          <w:p w14:paraId="5D5582CC" w14:textId="77777777" w:rsidR="00B501F7" w:rsidRPr="009E3E83" w:rsidRDefault="00B501F7" w:rsidP="00B501F7">
            <w:pPr>
              <w:pStyle w:val="ListParagraph"/>
              <w:numPr>
                <w:ilvl w:val="1"/>
                <w:numId w:val="27"/>
              </w:numPr>
              <w:overflowPunct w:val="0"/>
              <w:autoSpaceDE w:val="0"/>
              <w:autoSpaceDN w:val="0"/>
              <w:adjustRightInd w:val="0"/>
              <w:spacing w:after="180" w:line="276" w:lineRule="auto"/>
              <w:ind w:left="1364"/>
              <w:contextualSpacing w:val="0"/>
              <w:textAlignment w:val="baseline"/>
              <w:rPr>
                <w:lang w:eastAsia="zh-CN"/>
              </w:rPr>
            </w:pPr>
            <w:r w:rsidRPr="009E3E83">
              <w:rPr>
                <w:lang w:eastAsia="zh-CN"/>
              </w:rPr>
              <w:t>X= [7] s</w:t>
            </w:r>
          </w:p>
          <w:p w14:paraId="3487A7E6" w14:textId="77777777" w:rsidR="00B501F7" w:rsidRPr="009E3E83" w:rsidRDefault="00B501F7" w:rsidP="00B501F7">
            <w:pPr>
              <w:rPr>
                <w:lang w:eastAsia="ja-JP"/>
              </w:rPr>
            </w:pPr>
          </w:p>
          <w:p w14:paraId="5340E996" w14:textId="77777777" w:rsidR="00B501F7" w:rsidRPr="009E3E83" w:rsidRDefault="00B501F7" w:rsidP="00B501F7">
            <w:pPr>
              <w:outlineLvl w:val="2"/>
              <w:rPr>
                <w:b/>
                <w:u w:val="single"/>
                <w:lang w:eastAsia="ko-KR"/>
              </w:rPr>
            </w:pPr>
            <w:r w:rsidRPr="009E3E83">
              <w:rPr>
                <w:b/>
                <w:u w:val="single"/>
                <w:lang w:eastAsia="ko-KR"/>
              </w:rPr>
              <w:t xml:space="preserve">Issue 1-6B: </w:t>
            </w:r>
            <w:proofErr w:type="spellStart"/>
            <w:r w:rsidRPr="009E3E83">
              <w:rPr>
                <w:b/>
                <w:u w:val="single"/>
                <w:lang w:eastAsia="ko-KR"/>
              </w:rPr>
              <w:t>Te_NTN</w:t>
            </w:r>
            <w:proofErr w:type="spellEnd"/>
            <w:r w:rsidRPr="009E3E83">
              <w:rPr>
                <w:b/>
                <w:u w:val="single"/>
                <w:lang w:eastAsia="ko-KR"/>
              </w:rPr>
              <w:t xml:space="preserve"> for 60kHz and 120kHz in Case3</w:t>
            </w:r>
          </w:p>
          <w:p w14:paraId="7C4E00D2" w14:textId="77777777" w:rsidR="00B501F7" w:rsidRPr="009E3E83" w:rsidRDefault="00B501F7" w:rsidP="00B501F7">
            <w:pPr>
              <w:rPr>
                <w:b/>
                <w:highlight w:val="green"/>
                <w:u w:val="single"/>
                <w:lang w:val="en-US" w:eastAsia="zh-CN"/>
              </w:rPr>
            </w:pPr>
            <w:r w:rsidRPr="009E3E83">
              <w:rPr>
                <w:rFonts w:hint="eastAsia"/>
                <w:b/>
                <w:highlight w:val="green"/>
                <w:u w:val="single"/>
                <w:lang w:val="en-US" w:eastAsia="zh-CN"/>
              </w:rPr>
              <w:t>A</w:t>
            </w:r>
            <w:r w:rsidRPr="009E3E83">
              <w:rPr>
                <w:b/>
                <w:highlight w:val="green"/>
                <w:u w:val="single"/>
                <w:lang w:val="en-US" w:eastAsia="zh-CN"/>
              </w:rPr>
              <w:t>greement:</w:t>
            </w:r>
          </w:p>
          <w:p w14:paraId="5782769E" w14:textId="77777777" w:rsidR="00B501F7" w:rsidRPr="009E3E83" w:rsidRDefault="00B501F7" w:rsidP="00B501F7">
            <w:pPr>
              <w:pStyle w:val="ListParagraph"/>
              <w:numPr>
                <w:ilvl w:val="0"/>
                <w:numId w:val="27"/>
              </w:numPr>
              <w:overflowPunct w:val="0"/>
              <w:autoSpaceDE w:val="0"/>
              <w:autoSpaceDN w:val="0"/>
              <w:adjustRightInd w:val="0"/>
              <w:spacing w:after="180" w:line="276" w:lineRule="auto"/>
              <w:ind w:left="644"/>
              <w:contextualSpacing w:val="0"/>
              <w:textAlignment w:val="baseline"/>
              <w:rPr>
                <w:sz w:val="21"/>
                <w:lang w:eastAsia="ja-JP"/>
              </w:rPr>
            </w:pPr>
            <w:r w:rsidRPr="009E3E83">
              <w:rPr>
                <w:sz w:val="21"/>
                <w:lang w:eastAsia="ja-JP"/>
              </w:rPr>
              <w:t xml:space="preserve">For 120kHz of UL SCS in case3, </w:t>
            </w:r>
            <w:proofErr w:type="spellStart"/>
            <w:r w:rsidRPr="009E3E83">
              <w:rPr>
                <w:sz w:val="21"/>
                <w:lang w:eastAsia="zh-CN"/>
              </w:rPr>
              <w:t>Te_NTN</w:t>
            </w:r>
            <w:proofErr w:type="spellEnd"/>
            <w:r w:rsidRPr="009E3E83">
              <w:rPr>
                <w:sz w:val="21"/>
                <w:lang w:eastAsia="zh-CN"/>
              </w:rPr>
              <w:t xml:space="preserve"> [Ts] is X.</w:t>
            </w:r>
          </w:p>
          <w:p w14:paraId="430D6ED4" w14:textId="77777777" w:rsidR="00B501F7" w:rsidRPr="009E3E83" w:rsidRDefault="00B501F7" w:rsidP="00B501F7">
            <w:pPr>
              <w:pStyle w:val="ListParagraph"/>
              <w:numPr>
                <w:ilvl w:val="2"/>
                <w:numId w:val="27"/>
              </w:numPr>
              <w:overflowPunct w:val="0"/>
              <w:autoSpaceDE w:val="0"/>
              <w:autoSpaceDN w:val="0"/>
              <w:adjustRightInd w:val="0"/>
              <w:spacing w:after="180" w:line="276" w:lineRule="auto"/>
              <w:ind w:left="1620"/>
              <w:contextualSpacing w:val="0"/>
              <w:textAlignment w:val="baseline"/>
              <w:rPr>
                <w:sz w:val="21"/>
              </w:rPr>
            </w:pPr>
            <w:r w:rsidRPr="009E3E83">
              <w:rPr>
                <w:sz w:val="21"/>
                <w:lang w:eastAsia="zh-CN"/>
              </w:rPr>
              <w:t>[10] Ts</w:t>
            </w:r>
          </w:p>
          <w:p w14:paraId="75619646" w14:textId="77777777" w:rsidR="00B501F7" w:rsidRPr="009E3E83" w:rsidRDefault="00B501F7" w:rsidP="00B501F7">
            <w:pPr>
              <w:pStyle w:val="ListParagraph"/>
              <w:numPr>
                <w:ilvl w:val="2"/>
                <w:numId w:val="27"/>
              </w:numPr>
              <w:overflowPunct w:val="0"/>
              <w:autoSpaceDE w:val="0"/>
              <w:autoSpaceDN w:val="0"/>
              <w:adjustRightInd w:val="0"/>
              <w:spacing w:after="180" w:line="276" w:lineRule="auto"/>
              <w:ind w:left="1620"/>
              <w:contextualSpacing w:val="0"/>
              <w:textAlignment w:val="baseline"/>
              <w:rPr>
                <w:sz w:val="21"/>
                <w:lang w:eastAsia="zh-CN"/>
              </w:rPr>
            </w:pPr>
            <w:r w:rsidRPr="009E3E83">
              <w:rPr>
                <w:sz w:val="21"/>
              </w:rPr>
              <w:t>Further discussion on the side condition is not precluded in maintenance part based on contribution driven.</w:t>
            </w:r>
          </w:p>
          <w:p w14:paraId="51C29031" w14:textId="77777777" w:rsidR="0060301D" w:rsidRPr="00614DD8" w:rsidRDefault="0060301D" w:rsidP="005C23A4">
            <w:pPr>
              <w:rPr>
                <w:lang w:val="en-US"/>
              </w:rPr>
            </w:pPr>
          </w:p>
        </w:tc>
      </w:tr>
    </w:tbl>
    <w:p w14:paraId="38836EDA" w14:textId="77777777" w:rsidR="00A520D9" w:rsidRPr="00614DD8" w:rsidRDefault="00A520D9" w:rsidP="005C23A4">
      <w:pPr>
        <w:rPr>
          <w:lang w:val="en-US"/>
        </w:rPr>
      </w:pPr>
    </w:p>
    <w:p w14:paraId="2540763E" w14:textId="77777777" w:rsidR="0060543D" w:rsidRPr="00614DD8" w:rsidRDefault="0060543D" w:rsidP="005C23A4">
      <w:pPr>
        <w:rPr>
          <w:lang w:val="en-US"/>
        </w:rPr>
      </w:pPr>
    </w:p>
    <w:p w14:paraId="3504E238" w14:textId="77777777" w:rsidR="003B659E" w:rsidRDefault="003B659E" w:rsidP="00AE56B1">
      <w:pPr>
        <w:pStyle w:val="RAN4H1"/>
        <w:rPr>
          <w:lang w:val="en-US"/>
        </w:rPr>
      </w:pPr>
      <w:bookmarkStart w:id="5" w:name="_Toc116995842"/>
      <w:r w:rsidRPr="00614DD8">
        <w:rPr>
          <w:lang w:val="en-US"/>
        </w:rPr>
        <w:t>Discussion</w:t>
      </w:r>
      <w:bookmarkEnd w:id="5"/>
    </w:p>
    <w:p w14:paraId="47EBBCC5" w14:textId="6C6BDD71" w:rsidR="00FF4578" w:rsidRPr="00FF4578" w:rsidRDefault="00FF4578" w:rsidP="00FF4578">
      <w:pPr>
        <w:rPr>
          <w:lang w:val="en-US"/>
        </w:rPr>
      </w:pPr>
      <w:r>
        <w:rPr>
          <w:lang w:val="en-US"/>
        </w:rPr>
        <w:t xml:space="preserve">In the discussions below, unless stated otherwise, the issue number is related to the issue contained in the Way Forward from RAN #110 </w:t>
      </w:r>
      <w:r>
        <w:rPr>
          <w:lang w:val="en-US"/>
        </w:rPr>
        <w:fldChar w:fldCharType="begin"/>
      </w:r>
      <w:r>
        <w:rPr>
          <w:lang w:val="en-US"/>
        </w:rPr>
        <w:instrText xml:space="preserve"> REF _Ref163464365 \r \h </w:instrText>
      </w:r>
      <w:r>
        <w:rPr>
          <w:lang w:val="en-US"/>
        </w:rPr>
      </w:r>
      <w:r>
        <w:rPr>
          <w:lang w:val="en-US"/>
        </w:rPr>
        <w:fldChar w:fldCharType="separate"/>
      </w:r>
      <w:r>
        <w:rPr>
          <w:lang w:val="en-US"/>
        </w:rPr>
        <w:t>[2]</w:t>
      </w:r>
      <w:r>
        <w:rPr>
          <w:lang w:val="en-US"/>
        </w:rPr>
        <w:fldChar w:fldCharType="end"/>
      </w:r>
      <w:r>
        <w:rPr>
          <w:lang w:val="en-US"/>
        </w:rPr>
        <w:t>.</w:t>
      </w:r>
    </w:p>
    <w:p w14:paraId="176752F1" w14:textId="55420DB3" w:rsidR="00CB22B2" w:rsidRPr="00E0474D" w:rsidRDefault="00FF4578" w:rsidP="00496606">
      <w:pPr>
        <w:pStyle w:val="RAN4H2"/>
        <w:rPr>
          <w:lang w:val="en-US"/>
        </w:rPr>
      </w:pPr>
      <w:r w:rsidRPr="00E0474D">
        <w:rPr>
          <w:lang w:val="en-US"/>
        </w:rPr>
        <w:t>Tx Timing Accuracy for Mobile VSAT (Issue 1-6B)</w:t>
      </w:r>
    </w:p>
    <w:p w14:paraId="71E59DCC" w14:textId="56272C0C" w:rsidR="0089210C" w:rsidRDefault="005F2D2C" w:rsidP="005C23A4">
      <w:pPr>
        <w:rPr>
          <w:lang w:val="en-US"/>
        </w:rPr>
      </w:pPr>
      <w:r>
        <w:rPr>
          <w:lang w:val="en-US"/>
        </w:rPr>
        <w:t xml:space="preserve">This problem has been thoroughly investigated in our previous contributions. We will revisit some of these aspects while we demonstrate that the current tentative agreement implies in severe feasibility concerns. </w:t>
      </w:r>
    </w:p>
    <w:p w14:paraId="5F31B1E6" w14:textId="76A70F16" w:rsidR="005F2D2C" w:rsidRPr="00FF374C" w:rsidRDefault="005F2D2C" w:rsidP="005F2D2C">
      <w:r>
        <w:lastRenderedPageBreak/>
        <w:t xml:space="preserve">The uncertainty of the UE transmission must be absorbed by the cyclic prefix. The CP duration,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Pr>
          <w:rFonts w:eastAsiaTheme="minorEastAsia"/>
        </w:rPr>
        <w:t xml:space="preserve">, </w:t>
      </w:r>
      <w:r>
        <w:t xml:space="preserve">for the normal CP operation, as defined in </w:t>
      </w:r>
      <w:r>
        <w:rPr>
          <w:highlight w:val="yellow"/>
        </w:rPr>
        <w:fldChar w:fldCharType="begin"/>
      </w:r>
      <w:r>
        <w:instrText xml:space="preserve"> REF _Ref130303734 \r \h </w:instrText>
      </w:r>
      <w:r>
        <w:rPr>
          <w:highlight w:val="yellow"/>
        </w:rPr>
      </w:r>
      <w:r>
        <w:rPr>
          <w:highlight w:val="yellow"/>
        </w:rPr>
        <w:fldChar w:fldCharType="separate"/>
      </w:r>
      <w:r>
        <w:t>[3]</w:t>
      </w:r>
      <w:r>
        <w:rPr>
          <w:highlight w:val="yellow"/>
        </w:rPr>
        <w:fldChar w:fldCharType="end"/>
      </w:r>
      <w:r>
        <w:t xml:space="preserve"> depends on the SCS: </w:t>
      </w:r>
    </w:p>
    <w:p w14:paraId="1082A118" w14:textId="77777777" w:rsidR="005F2D2C" w:rsidRPr="005252A5" w:rsidRDefault="000E3505" w:rsidP="005F2D2C">
      <w:pPr>
        <w:pStyle w:val="RAN4Observation"/>
        <w:numPr>
          <w:ilvl w:val="0"/>
          <w:numId w:val="0"/>
        </w:numPr>
      </w:pPr>
      <m:oMathPara>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d>
            <m:dPr>
              <m:ctrlPr>
                <w:rPr>
                  <w:rFonts w:ascii="Cambria Math" w:hAnsi="Cambria Math"/>
                  <w:i/>
                </w:rPr>
              </m:ctrlPr>
            </m:dPr>
            <m:e>
              <m:r>
                <w:rPr>
                  <w:rFonts w:ascii="Cambria Math" w:hAnsi="Cambria Math"/>
                </w:rPr>
                <m:t>144κ∙</m:t>
              </m:r>
              <m:sSup>
                <m:sSupPr>
                  <m:ctrlPr>
                    <w:rPr>
                      <w:rFonts w:ascii="Cambria Math" w:hAnsi="Cambria Math"/>
                      <w:i/>
                    </w:rPr>
                  </m:ctrlPr>
                </m:sSupPr>
                <m:e>
                  <m:r>
                    <w:rPr>
                      <w:rFonts w:ascii="Cambria Math" w:hAnsi="Cambria Math"/>
                    </w:rPr>
                    <m:t>2</m:t>
                  </m:r>
                </m:e>
                <m:sup>
                  <m:r>
                    <w:rPr>
                      <w:rFonts w:ascii="Cambria Math" w:hAnsi="Cambria Math"/>
                    </w:rPr>
                    <m:t>-μ</m:t>
                  </m:r>
                </m:sup>
              </m:sSup>
            </m:e>
          </m:d>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14:paraId="32B830B7" w14:textId="2D15D5BF" w:rsidR="005F2D2C" w:rsidRDefault="005F2D2C" w:rsidP="005C23A4">
      <w:pPr>
        <w:rPr>
          <w:rFonts w:eastAsiaTheme="minorEastAsia"/>
          <w:lang w:val="en-US"/>
        </w:rPr>
      </w:pPr>
      <w:r>
        <w:rPr>
          <w:lang w:val="en-US"/>
        </w:rPr>
        <w:t xml:space="preserve">Therefore, for UL SCS 120 kHz, the total CP has duration equal to </w:t>
      </w:r>
      <m:oMath>
        <m:r>
          <w:rPr>
            <w:rFonts w:ascii="Cambria Math" w:hAnsi="Cambria Math"/>
            <w:lang w:val="en-US"/>
          </w:rPr>
          <m:t>18k</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=18</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Pr>
          <w:rFonts w:eastAsiaTheme="minorEastAsia"/>
          <w:lang w:val="en-US"/>
        </w:rPr>
        <w:t xml:space="preserve">. </w:t>
      </w:r>
    </w:p>
    <w:p w14:paraId="0FB42DFE" w14:textId="036F06F8" w:rsidR="005F2D2C" w:rsidRDefault="005F2D2C" w:rsidP="005C23A4">
      <w:pPr>
        <w:rPr>
          <w:rFonts w:eastAsiaTheme="minorEastAsia"/>
        </w:rPr>
      </w:pPr>
      <w:r>
        <w:rPr>
          <w:lang w:val="en-US"/>
        </w:rPr>
        <w:t xml:space="preserve">The transmit timing error accuracy is provided in absolute values, as the error might be equally positive (larger timing advance) or negative (smaller timing advance). </w:t>
      </w:r>
      <w:r w:rsidR="00622A4B">
        <w:rPr>
          <w:lang w:val="en-US"/>
        </w:rPr>
        <w:t xml:space="preserve"> Therefore, </w:t>
      </w:r>
      <w:r w:rsidR="00622A4B">
        <w:rPr>
          <w:rFonts w:eastAsiaTheme="minorEastAsia"/>
        </w:rPr>
        <w:t>the receiving system must be prepared to receive one UE with transmit timing error equal to +</w:t>
      </w:r>
      <w:proofErr w:type="spellStart"/>
      <w:r w:rsidR="00622A4B">
        <w:rPr>
          <w:rFonts w:eastAsiaTheme="minorEastAsia"/>
        </w:rPr>
        <w:t>T</w:t>
      </w:r>
      <w:r w:rsidR="00622A4B" w:rsidRPr="00826AE0">
        <w:rPr>
          <w:rFonts w:eastAsiaTheme="minorEastAsia"/>
          <w:vertAlign w:val="subscript"/>
        </w:rPr>
        <w:t>e_NTN</w:t>
      </w:r>
      <w:proofErr w:type="spellEnd"/>
      <w:r w:rsidR="00622A4B">
        <w:rPr>
          <w:rFonts w:eastAsiaTheme="minorEastAsia"/>
        </w:rPr>
        <w:t xml:space="preserve"> and another UE with transmit timing error equal to –</w:t>
      </w:r>
      <w:proofErr w:type="spellStart"/>
      <w:r w:rsidR="00622A4B">
        <w:rPr>
          <w:rFonts w:eastAsiaTheme="minorEastAsia"/>
        </w:rPr>
        <w:t>T</w:t>
      </w:r>
      <w:r w:rsidR="00622A4B" w:rsidRPr="00826AE0">
        <w:rPr>
          <w:rFonts w:eastAsiaTheme="minorEastAsia"/>
          <w:vertAlign w:val="subscript"/>
        </w:rPr>
        <w:t>e_NTN</w:t>
      </w:r>
      <w:proofErr w:type="spellEnd"/>
      <w:r w:rsidR="00622A4B" w:rsidRPr="00826AE0">
        <w:rPr>
          <w:rFonts w:eastAsiaTheme="minorEastAsia"/>
        </w:rPr>
        <w:t>.</w:t>
      </w:r>
      <w:r w:rsidR="00622A4B">
        <w:rPr>
          <w:rFonts w:eastAsiaTheme="minorEastAsia"/>
          <w:vertAlign w:val="subscript"/>
        </w:rPr>
        <w:t xml:space="preserve"> </w:t>
      </w:r>
      <w:r w:rsidR="00622A4B">
        <w:rPr>
          <w:rFonts w:eastAsiaTheme="minorEastAsia"/>
        </w:rPr>
        <w:t xml:space="preserve">In other words, the delay budget reserved to absorb the impact of UE transmit timing inaccuracy is twice as large as </w:t>
      </w:r>
      <w:proofErr w:type="spellStart"/>
      <w:r w:rsidR="00622A4B">
        <w:rPr>
          <w:rFonts w:eastAsiaTheme="minorEastAsia"/>
        </w:rPr>
        <w:t>T</w:t>
      </w:r>
      <w:r w:rsidR="00622A4B" w:rsidRPr="00AD0128">
        <w:rPr>
          <w:rFonts w:eastAsiaTheme="minorEastAsia"/>
          <w:vertAlign w:val="subscript"/>
        </w:rPr>
        <w:t>e_NTN</w:t>
      </w:r>
      <w:proofErr w:type="spellEnd"/>
      <w:r w:rsidR="00622A4B" w:rsidRPr="00826AE0">
        <w:rPr>
          <w:rFonts w:eastAsiaTheme="minorEastAsia"/>
        </w:rPr>
        <w:t>.</w:t>
      </w:r>
      <w:r w:rsidR="00622A4B">
        <w:rPr>
          <w:rFonts w:eastAsiaTheme="minorEastAsia"/>
        </w:rPr>
        <w:t xml:space="preserve"> </w:t>
      </w:r>
    </w:p>
    <w:p w14:paraId="581513B4" w14:textId="77777777" w:rsidR="00E50952" w:rsidRDefault="00622A4B" w:rsidP="005C23A4">
      <w:pPr>
        <w:rPr>
          <w:rFonts w:eastAsiaTheme="minorEastAsia"/>
        </w:rPr>
      </w:pPr>
      <w:r>
        <w:rPr>
          <w:rFonts w:eastAsiaTheme="minorEastAsia"/>
        </w:rPr>
        <w:t>The total delay budget is already larger by 2 Ts than the total available CP for 120 kHz. But it is important to observe that the delay spread has yet to be considered on top of the transmit timing error.</w:t>
      </w:r>
      <w:r w:rsidR="00E50952">
        <w:rPr>
          <w:rFonts w:eastAsiaTheme="minorEastAsia"/>
        </w:rPr>
        <w:t xml:space="preserve"> </w:t>
      </w:r>
    </w:p>
    <w:p w14:paraId="4818C818" w14:textId="2442DCBE" w:rsidR="00E50952" w:rsidRDefault="00E50952" w:rsidP="005C23A4">
      <w:pPr>
        <w:rPr>
          <w:rFonts w:eastAsiaTheme="minorEastAsia"/>
        </w:rPr>
      </w:pPr>
      <w:r w:rsidRPr="00E50952">
        <w:rPr>
          <w:rFonts w:eastAsiaTheme="minorEastAsia"/>
        </w:rPr>
        <w:t>Besides, UEs travelling at high s</w:t>
      </w:r>
      <w:r>
        <w:rPr>
          <w:rFonts w:eastAsiaTheme="minorEastAsia"/>
        </w:rPr>
        <w:t xml:space="preserve">peed will face significant TA development in short periods of time (a few seconds), and depending on their implemented GNSS update rate, it is not possible to keep all the adjustment within the autonomous TA compensation, as the real RTT might be updated significantly between two UE updates, as depicted in </w:t>
      </w:r>
      <w:r>
        <w:rPr>
          <w:rFonts w:eastAsiaTheme="minorEastAsia"/>
        </w:rPr>
        <w:fldChar w:fldCharType="begin"/>
      </w:r>
      <w:r>
        <w:rPr>
          <w:rFonts w:eastAsiaTheme="minorEastAsia"/>
        </w:rPr>
        <w:instrText xml:space="preserve"> REF _Ref163468599 \h </w:instrText>
      </w:r>
      <w:r>
        <w:rPr>
          <w:rFonts w:eastAsiaTheme="minorEastAsia"/>
        </w:rPr>
      </w:r>
      <w:r>
        <w:rPr>
          <w:rFonts w:eastAsiaTheme="minorEastAsia"/>
        </w:rPr>
        <w:fldChar w:fldCharType="separate"/>
      </w:r>
      <w:r w:rsidRPr="0087241B">
        <w:t xml:space="preserve">Table </w:t>
      </w:r>
      <w:r w:rsidRPr="0087241B">
        <w:rPr>
          <w:noProof/>
        </w:rPr>
        <w:t>1</w:t>
      </w:r>
      <w:r>
        <w:rPr>
          <w:rFonts w:eastAsiaTheme="minorEastAsia"/>
        </w:rPr>
        <w:fldChar w:fldCharType="end"/>
      </w:r>
      <w:r>
        <w:rPr>
          <w:rFonts w:eastAsiaTheme="minorEastAsia"/>
        </w:rPr>
        <w:t>.</w:t>
      </w:r>
    </w:p>
    <w:p w14:paraId="039A906D" w14:textId="77777777" w:rsidR="00E50952" w:rsidRPr="00E50952" w:rsidRDefault="00E50952" w:rsidP="005C23A4">
      <w:pPr>
        <w:rPr>
          <w:rFonts w:eastAsiaTheme="minorEastAsia"/>
        </w:rPr>
      </w:pPr>
    </w:p>
    <w:p w14:paraId="27238650" w14:textId="77777777" w:rsidR="00E50952" w:rsidRPr="0087241B" w:rsidRDefault="00E50952" w:rsidP="00E50952">
      <w:pPr>
        <w:pStyle w:val="Caption"/>
        <w:keepNext/>
      </w:pPr>
      <w:bookmarkStart w:id="6" w:name="_Ref163468599"/>
      <w:r w:rsidRPr="0087241B">
        <w:t xml:space="preserve">Table </w:t>
      </w:r>
      <w:r>
        <w:fldChar w:fldCharType="begin"/>
      </w:r>
      <w:r w:rsidRPr="0087241B">
        <w:instrText xml:space="preserve"> SEQ Table \* ARABIC </w:instrText>
      </w:r>
      <w:r>
        <w:fldChar w:fldCharType="separate"/>
      </w:r>
      <w:r w:rsidRPr="0087241B">
        <w:rPr>
          <w:noProof/>
        </w:rPr>
        <w:t>1</w:t>
      </w:r>
      <w:r>
        <w:fldChar w:fldCharType="end"/>
      </w:r>
      <w:bookmarkEnd w:id="6"/>
      <w:r w:rsidRPr="0087241B">
        <w:t>. Max Tx timing difference (in Ts)</w:t>
      </w:r>
      <w:r w:rsidRPr="0087241B">
        <w:tab/>
        <w:t>for different UE speeds and GNSS refresh rate</w:t>
      </w:r>
    </w:p>
    <w:tbl>
      <w:tblPr>
        <w:tblW w:w="8380" w:type="dxa"/>
        <w:jc w:val="center"/>
        <w:tblLook w:val="04A0" w:firstRow="1" w:lastRow="0" w:firstColumn="1" w:lastColumn="0" w:noHBand="0" w:noVBand="1"/>
      </w:tblPr>
      <w:tblGrid>
        <w:gridCol w:w="2140"/>
        <w:gridCol w:w="1960"/>
        <w:gridCol w:w="2140"/>
        <w:gridCol w:w="2140"/>
      </w:tblGrid>
      <w:tr w:rsidR="00E50952" w:rsidRPr="00F44F9B" w14:paraId="4692D07E" w14:textId="77777777" w:rsidTr="00C53697">
        <w:trPr>
          <w:trHeight w:val="900"/>
          <w:jc w:val="center"/>
        </w:trPr>
        <w:tc>
          <w:tcPr>
            <w:tcW w:w="2140"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18E483EE" w14:textId="77777777" w:rsidR="00E50952" w:rsidRPr="00F44F9B" w:rsidRDefault="00E50952" w:rsidP="00C53697">
            <w:pPr>
              <w:spacing w:after="0"/>
              <w:jc w:val="center"/>
              <w:rPr>
                <w:rFonts w:ascii="Calibri" w:eastAsia="Times New Roman" w:hAnsi="Calibri" w:cs="Calibri"/>
                <w:color w:val="FFFFFF"/>
                <w:sz w:val="22"/>
                <w:lang w:eastAsia="en-GB"/>
              </w:rPr>
            </w:pPr>
            <w:r w:rsidRPr="00F44F9B">
              <w:rPr>
                <w:rFonts w:ascii="Calibri" w:eastAsia="Times New Roman" w:hAnsi="Calibri" w:cs="Calibri"/>
                <w:color w:val="FFFFFF"/>
                <w:sz w:val="22"/>
                <w:lang w:eastAsia="en-GB"/>
              </w:rPr>
              <w:t>UE Speed (km/h)</w:t>
            </w:r>
          </w:p>
        </w:tc>
        <w:tc>
          <w:tcPr>
            <w:tcW w:w="1960" w:type="dxa"/>
            <w:tcBorders>
              <w:top w:val="single" w:sz="4" w:space="0" w:color="auto"/>
              <w:left w:val="nil"/>
              <w:bottom w:val="single" w:sz="4" w:space="0" w:color="auto"/>
              <w:right w:val="single" w:sz="4" w:space="0" w:color="auto"/>
            </w:tcBorders>
            <w:shd w:val="clear" w:color="000000" w:fill="002060"/>
            <w:vAlign w:val="center"/>
            <w:hideMark/>
          </w:tcPr>
          <w:p w14:paraId="11A60546" w14:textId="77777777" w:rsidR="00E50952" w:rsidRPr="00F44F9B" w:rsidRDefault="00E50952" w:rsidP="00C53697">
            <w:pPr>
              <w:spacing w:after="0"/>
              <w:jc w:val="center"/>
              <w:rPr>
                <w:rFonts w:ascii="Calibri" w:eastAsia="Times New Roman" w:hAnsi="Calibri" w:cs="Calibri"/>
                <w:color w:val="FFFFFF"/>
                <w:sz w:val="22"/>
                <w:lang w:eastAsia="en-GB"/>
              </w:rPr>
            </w:pPr>
            <w:r w:rsidRPr="00F44F9B">
              <w:rPr>
                <w:rFonts w:ascii="Calibri" w:eastAsia="Times New Roman" w:hAnsi="Calibri" w:cs="Calibri"/>
                <w:color w:val="FFFFFF"/>
                <w:sz w:val="22"/>
                <w:lang w:eastAsia="en-GB"/>
              </w:rPr>
              <w:t>GNSS Update Interval (s)</w:t>
            </w:r>
          </w:p>
        </w:tc>
        <w:tc>
          <w:tcPr>
            <w:tcW w:w="2140" w:type="dxa"/>
            <w:tcBorders>
              <w:top w:val="single" w:sz="4" w:space="0" w:color="auto"/>
              <w:left w:val="nil"/>
              <w:bottom w:val="single" w:sz="4" w:space="0" w:color="auto"/>
              <w:right w:val="single" w:sz="4" w:space="0" w:color="auto"/>
            </w:tcBorders>
            <w:shd w:val="clear" w:color="000000" w:fill="002060"/>
            <w:vAlign w:val="center"/>
            <w:hideMark/>
          </w:tcPr>
          <w:p w14:paraId="292510AB" w14:textId="77777777" w:rsidR="00E50952" w:rsidRPr="00F44F9B" w:rsidRDefault="00E50952" w:rsidP="00C53697">
            <w:pPr>
              <w:spacing w:after="0"/>
              <w:jc w:val="center"/>
              <w:rPr>
                <w:rFonts w:ascii="Calibri" w:eastAsia="Times New Roman" w:hAnsi="Calibri" w:cs="Calibri"/>
                <w:color w:val="FFFFFF"/>
                <w:sz w:val="22"/>
                <w:lang w:eastAsia="en-GB"/>
              </w:rPr>
            </w:pPr>
            <w:r w:rsidRPr="00F44F9B">
              <w:rPr>
                <w:rFonts w:ascii="Calibri" w:eastAsia="Times New Roman" w:hAnsi="Calibri" w:cs="Calibri"/>
                <w:color w:val="FFFFFF"/>
                <w:sz w:val="22"/>
                <w:lang w:eastAsia="en-GB"/>
              </w:rPr>
              <w:t>Max. UE "displacement" between updates (m)</w:t>
            </w:r>
          </w:p>
        </w:tc>
        <w:tc>
          <w:tcPr>
            <w:tcW w:w="2140" w:type="dxa"/>
            <w:tcBorders>
              <w:top w:val="single" w:sz="4" w:space="0" w:color="auto"/>
              <w:left w:val="nil"/>
              <w:bottom w:val="single" w:sz="4" w:space="0" w:color="auto"/>
              <w:right w:val="single" w:sz="4" w:space="0" w:color="auto"/>
            </w:tcBorders>
            <w:shd w:val="clear" w:color="000000" w:fill="002060"/>
            <w:vAlign w:val="center"/>
            <w:hideMark/>
          </w:tcPr>
          <w:p w14:paraId="0DFD397B" w14:textId="77777777" w:rsidR="00E50952" w:rsidRPr="00F44F9B" w:rsidRDefault="00E50952" w:rsidP="00C53697">
            <w:pPr>
              <w:spacing w:after="0"/>
              <w:jc w:val="center"/>
              <w:rPr>
                <w:rFonts w:ascii="Calibri" w:eastAsia="Times New Roman" w:hAnsi="Calibri" w:cs="Calibri"/>
                <w:color w:val="FFFFFF"/>
                <w:sz w:val="22"/>
                <w:lang w:eastAsia="en-GB"/>
              </w:rPr>
            </w:pPr>
            <w:r w:rsidRPr="00F44F9B">
              <w:rPr>
                <w:rFonts w:ascii="Calibri" w:eastAsia="Times New Roman" w:hAnsi="Calibri" w:cs="Calibri"/>
                <w:color w:val="FFFFFF"/>
                <w:sz w:val="22"/>
                <w:lang w:eastAsia="en-GB"/>
              </w:rPr>
              <w:t>Max. Tx timing Difference (Ts)</w:t>
            </w:r>
          </w:p>
        </w:tc>
      </w:tr>
      <w:tr w:rsidR="00E50952" w:rsidRPr="00F44F9B" w14:paraId="049FFF4B" w14:textId="77777777" w:rsidTr="00C53697">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09553D14"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30</w:t>
            </w:r>
          </w:p>
        </w:tc>
        <w:tc>
          <w:tcPr>
            <w:tcW w:w="1960" w:type="dxa"/>
            <w:tcBorders>
              <w:top w:val="nil"/>
              <w:left w:val="nil"/>
              <w:bottom w:val="single" w:sz="4" w:space="0" w:color="auto"/>
              <w:right w:val="single" w:sz="4" w:space="0" w:color="auto"/>
            </w:tcBorders>
            <w:shd w:val="clear" w:color="auto" w:fill="auto"/>
            <w:noWrap/>
            <w:vAlign w:val="bottom"/>
            <w:hideMark/>
          </w:tcPr>
          <w:p w14:paraId="2614F0CC"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0C66955C"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8,33</w:t>
            </w:r>
          </w:p>
        </w:tc>
        <w:tc>
          <w:tcPr>
            <w:tcW w:w="2140" w:type="dxa"/>
            <w:tcBorders>
              <w:top w:val="nil"/>
              <w:left w:val="nil"/>
              <w:bottom w:val="single" w:sz="4" w:space="0" w:color="auto"/>
              <w:right w:val="single" w:sz="8" w:space="0" w:color="auto"/>
            </w:tcBorders>
            <w:shd w:val="clear" w:color="000000" w:fill="C6EFCE"/>
            <w:noWrap/>
            <w:vAlign w:val="bottom"/>
            <w:hideMark/>
          </w:tcPr>
          <w:p w14:paraId="567C9654" w14:textId="77777777" w:rsidR="00E50952" w:rsidRPr="00F44F9B" w:rsidRDefault="00E50952" w:rsidP="00C53697">
            <w:pPr>
              <w:spacing w:after="0"/>
              <w:jc w:val="right"/>
              <w:rPr>
                <w:rFonts w:ascii="Calibri" w:eastAsia="Times New Roman" w:hAnsi="Calibri" w:cs="Calibri"/>
                <w:color w:val="006100"/>
                <w:sz w:val="22"/>
                <w:lang w:eastAsia="en-GB"/>
              </w:rPr>
            </w:pPr>
            <w:r w:rsidRPr="00F44F9B">
              <w:rPr>
                <w:rFonts w:ascii="Calibri" w:eastAsia="Times New Roman" w:hAnsi="Calibri" w:cs="Calibri"/>
                <w:color w:val="006100"/>
                <w:sz w:val="22"/>
                <w:lang w:eastAsia="en-GB"/>
              </w:rPr>
              <w:t>1,71</w:t>
            </w:r>
          </w:p>
        </w:tc>
      </w:tr>
      <w:tr w:rsidR="00E50952" w:rsidRPr="00F44F9B" w14:paraId="1F978F9C" w14:textId="77777777" w:rsidTr="00C53697">
        <w:trPr>
          <w:trHeight w:val="315"/>
          <w:jc w:val="center"/>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09118D82"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30</w:t>
            </w:r>
          </w:p>
        </w:tc>
        <w:tc>
          <w:tcPr>
            <w:tcW w:w="1960" w:type="dxa"/>
            <w:tcBorders>
              <w:top w:val="nil"/>
              <w:left w:val="nil"/>
              <w:bottom w:val="single" w:sz="8" w:space="0" w:color="auto"/>
              <w:right w:val="single" w:sz="4" w:space="0" w:color="auto"/>
            </w:tcBorders>
            <w:shd w:val="clear" w:color="auto" w:fill="auto"/>
            <w:noWrap/>
            <w:vAlign w:val="bottom"/>
            <w:hideMark/>
          </w:tcPr>
          <w:p w14:paraId="016E5C9E"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5</w:t>
            </w:r>
          </w:p>
        </w:tc>
        <w:tc>
          <w:tcPr>
            <w:tcW w:w="2140" w:type="dxa"/>
            <w:tcBorders>
              <w:top w:val="nil"/>
              <w:left w:val="nil"/>
              <w:bottom w:val="single" w:sz="8" w:space="0" w:color="auto"/>
              <w:right w:val="single" w:sz="4" w:space="0" w:color="auto"/>
            </w:tcBorders>
            <w:shd w:val="clear" w:color="auto" w:fill="auto"/>
            <w:noWrap/>
            <w:vAlign w:val="bottom"/>
            <w:hideMark/>
          </w:tcPr>
          <w:p w14:paraId="01E3C935"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41,67</w:t>
            </w:r>
          </w:p>
        </w:tc>
        <w:tc>
          <w:tcPr>
            <w:tcW w:w="2140" w:type="dxa"/>
            <w:tcBorders>
              <w:top w:val="nil"/>
              <w:left w:val="nil"/>
              <w:bottom w:val="single" w:sz="8" w:space="0" w:color="auto"/>
              <w:right w:val="single" w:sz="8" w:space="0" w:color="auto"/>
            </w:tcBorders>
            <w:shd w:val="clear" w:color="000000" w:fill="FFC7CE"/>
            <w:noWrap/>
            <w:vAlign w:val="bottom"/>
            <w:hideMark/>
          </w:tcPr>
          <w:p w14:paraId="1AAAA563" w14:textId="77777777" w:rsidR="00E50952" w:rsidRPr="00F44F9B" w:rsidRDefault="00E50952" w:rsidP="00C53697">
            <w:pPr>
              <w:spacing w:after="0"/>
              <w:jc w:val="right"/>
              <w:rPr>
                <w:rFonts w:ascii="Calibri" w:eastAsia="Times New Roman" w:hAnsi="Calibri" w:cs="Calibri"/>
                <w:color w:val="9C0006"/>
                <w:sz w:val="22"/>
                <w:lang w:eastAsia="en-GB"/>
              </w:rPr>
            </w:pPr>
            <w:r w:rsidRPr="00F44F9B">
              <w:rPr>
                <w:rFonts w:ascii="Calibri" w:eastAsia="Times New Roman" w:hAnsi="Calibri" w:cs="Calibri"/>
                <w:color w:val="9C0006"/>
                <w:sz w:val="22"/>
                <w:lang w:eastAsia="en-GB"/>
              </w:rPr>
              <w:t>8,53</w:t>
            </w:r>
          </w:p>
        </w:tc>
      </w:tr>
      <w:tr w:rsidR="00E50952" w:rsidRPr="00F44F9B" w14:paraId="36466A79" w14:textId="77777777" w:rsidTr="00C53697">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146D0730"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60</w:t>
            </w:r>
          </w:p>
        </w:tc>
        <w:tc>
          <w:tcPr>
            <w:tcW w:w="1960" w:type="dxa"/>
            <w:tcBorders>
              <w:top w:val="nil"/>
              <w:left w:val="nil"/>
              <w:bottom w:val="single" w:sz="4" w:space="0" w:color="auto"/>
              <w:right w:val="single" w:sz="4" w:space="0" w:color="auto"/>
            </w:tcBorders>
            <w:shd w:val="clear" w:color="auto" w:fill="auto"/>
            <w:noWrap/>
            <w:vAlign w:val="bottom"/>
            <w:hideMark/>
          </w:tcPr>
          <w:p w14:paraId="35B97E6A"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0,5</w:t>
            </w:r>
          </w:p>
        </w:tc>
        <w:tc>
          <w:tcPr>
            <w:tcW w:w="2140" w:type="dxa"/>
            <w:tcBorders>
              <w:top w:val="nil"/>
              <w:left w:val="nil"/>
              <w:bottom w:val="single" w:sz="4" w:space="0" w:color="auto"/>
              <w:right w:val="single" w:sz="4" w:space="0" w:color="auto"/>
            </w:tcBorders>
            <w:shd w:val="clear" w:color="auto" w:fill="auto"/>
            <w:noWrap/>
            <w:vAlign w:val="bottom"/>
            <w:hideMark/>
          </w:tcPr>
          <w:p w14:paraId="28336CA8"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8,33</w:t>
            </w:r>
          </w:p>
        </w:tc>
        <w:tc>
          <w:tcPr>
            <w:tcW w:w="2140" w:type="dxa"/>
            <w:tcBorders>
              <w:top w:val="nil"/>
              <w:left w:val="nil"/>
              <w:bottom w:val="single" w:sz="4" w:space="0" w:color="auto"/>
              <w:right w:val="single" w:sz="8" w:space="0" w:color="auto"/>
            </w:tcBorders>
            <w:shd w:val="clear" w:color="000000" w:fill="C6EFCE"/>
            <w:noWrap/>
            <w:vAlign w:val="bottom"/>
            <w:hideMark/>
          </w:tcPr>
          <w:p w14:paraId="57DC3768" w14:textId="77777777" w:rsidR="00E50952" w:rsidRPr="00F44F9B" w:rsidRDefault="00E50952" w:rsidP="00C53697">
            <w:pPr>
              <w:spacing w:after="0"/>
              <w:jc w:val="right"/>
              <w:rPr>
                <w:rFonts w:ascii="Calibri" w:eastAsia="Times New Roman" w:hAnsi="Calibri" w:cs="Calibri"/>
                <w:color w:val="006100"/>
                <w:sz w:val="22"/>
                <w:lang w:eastAsia="en-GB"/>
              </w:rPr>
            </w:pPr>
            <w:r w:rsidRPr="00F44F9B">
              <w:rPr>
                <w:rFonts w:ascii="Calibri" w:eastAsia="Times New Roman" w:hAnsi="Calibri" w:cs="Calibri"/>
                <w:color w:val="006100"/>
                <w:sz w:val="22"/>
                <w:lang w:eastAsia="en-GB"/>
              </w:rPr>
              <w:t>1,71</w:t>
            </w:r>
          </w:p>
        </w:tc>
      </w:tr>
      <w:tr w:rsidR="00E50952" w:rsidRPr="00F44F9B" w14:paraId="191EE865" w14:textId="77777777" w:rsidTr="00C53697">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466F67B1"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60</w:t>
            </w:r>
          </w:p>
        </w:tc>
        <w:tc>
          <w:tcPr>
            <w:tcW w:w="1960" w:type="dxa"/>
            <w:tcBorders>
              <w:top w:val="nil"/>
              <w:left w:val="nil"/>
              <w:bottom w:val="single" w:sz="4" w:space="0" w:color="auto"/>
              <w:right w:val="single" w:sz="4" w:space="0" w:color="auto"/>
            </w:tcBorders>
            <w:shd w:val="clear" w:color="auto" w:fill="auto"/>
            <w:noWrap/>
            <w:vAlign w:val="bottom"/>
            <w:hideMark/>
          </w:tcPr>
          <w:p w14:paraId="3AE9D2EF"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374DE84D"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16,67</w:t>
            </w:r>
          </w:p>
        </w:tc>
        <w:tc>
          <w:tcPr>
            <w:tcW w:w="2140" w:type="dxa"/>
            <w:tcBorders>
              <w:top w:val="nil"/>
              <w:left w:val="nil"/>
              <w:bottom w:val="single" w:sz="4" w:space="0" w:color="auto"/>
              <w:right w:val="single" w:sz="8" w:space="0" w:color="auto"/>
            </w:tcBorders>
            <w:shd w:val="clear" w:color="000000" w:fill="FFEB9C"/>
            <w:noWrap/>
            <w:vAlign w:val="bottom"/>
            <w:hideMark/>
          </w:tcPr>
          <w:p w14:paraId="42D5A4C5" w14:textId="77777777" w:rsidR="00E50952" w:rsidRPr="00F44F9B" w:rsidRDefault="00E50952" w:rsidP="00C53697">
            <w:pPr>
              <w:spacing w:after="0"/>
              <w:jc w:val="right"/>
              <w:rPr>
                <w:rFonts w:ascii="Calibri" w:eastAsia="Times New Roman" w:hAnsi="Calibri" w:cs="Calibri"/>
                <w:color w:val="9C5700"/>
                <w:sz w:val="22"/>
                <w:lang w:eastAsia="en-GB"/>
              </w:rPr>
            </w:pPr>
            <w:r w:rsidRPr="00F44F9B">
              <w:rPr>
                <w:rFonts w:ascii="Calibri" w:eastAsia="Times New Roman" w:hAnsi="Calibri" w:cs="Calibri"/>
                <w:color w:val="9C5700"/>
                <w:sz w:val="22"/>
                <w:lang w:eastAsia="en-GB"/>
              </w:rPr>
              <w:t>3,41</w:t>
            </w:r>
          </w:p>
        </w:tc>
      </w:tr>
      <w:tr w:rsidR="00E50952" w:rsidRPr="00F44F9B" w14:paraId="1FBB410B" w14:textId="77777777" w:rsidTr="00C53697">
        <w:trPr>
          <w:trHeight w:val="315"/>
          <w:jc w:val="center"/>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51C62177"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60</w:t>
            </w:r>
          </w:p>
        </w:tc>
        <w:tc>
          <w:tcPr>
            <w:tcW w:w="1960" w:type="dxa"/>
            <w:tcBorders>
              <w:top w:val="nil"/>
              <w:left w:val="nil"/>
              <w:bottom w:val="single" w:sz="8" w:space="0" w:color="auto"/>
              <w:right w:val="single" w:sz="4" w:space="0" w:color="auto"/>
            </w:tcBorders>
            <w:shd w:val="clear" w:color="auto" w:fill="auto"/>
            <w:noWrap/>
            <w:vAlign w:val="bottom"/>
            <w:hideMark/>
          </w:tcPr>
          <w:p w14:paraId="38FEA39A"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5</w:t>
            </w:r>
          </w:p>
        </w:tc>
        <w:tc>
          <w:tcPr>
            <w:tcW w:w="2140" w:type="dxa"/>
            <w:tcBorders>
              <w:top w:val="nil"/>
              <w:left w:val="nil"/>
              <w:bottom w:val="single" w:sz="8" w:space="0" w:color="auto"/>
              <w:right w:val="single" w:sz="4" w:space="0" w:color="auto"/>
            </w:tcBorders>
            <w:shd w:val="clear" w:color="auto" w:fill="auto"/>
            <w:noWrap/>
            <w:vAlign w:val="bottom"/>
            <w:hideMark/>
          </w:tcPr>
          <w:p w14:paraId="1BD72ED4"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83,33</w:t>
            </w:r>
          </w:p>
        </w:tc>
        <w:tc>
          <w:tcPr>
            <w:tcW w:w="2140" w:type="dxa"/>
            <w:tcBorders>
              <w:top w:val="nil"/>
              <w:left w:val="nil"/>
              <w:bottom w:val="single" w:sz="8" w:space="0" w:color="auto"/>
              <w:right w:val="single" w:sz="8" w:space="0" w:color="auto"/>
            </w:tcBorders>
            <w:shd w:val="clear" w:color="000000" w:fill="FFC7CE"/>
            <w:noWrap/>
            <w:vAlign w:val="bottom"/>
            <w:hideMark/>
          </w:tcPr>
          <w:p w14:paraId="292C335D" w14:textId="77777777" w:rsidR="00E50952" w:rsidRPr="00F44F9B" w:rsidRDefault="00E50952" w:rsidP="00C53697">
            <w:pPr>
              <w:spacing w:after="0"/>
              <w:jc w:val="right"/>
              <w:rPr>
                <w:rFonts w:ascii="Calibri" w:eastAsia="Times New Roman" w:hAnsi="Calibri" w:cs="Calibri"/>
                <w:color w:val="9C0006"/>
                <w:sz w:val="22"/>
                <w:lang w:eastAsia="en-GB"/>
              </w:rPr>
            </w:pPr>
            <w:r w:rsidRPr="00F44F9B">
              <w:rPr>
                <w:rFonts w:ascii="Calibri" w:eastAsia="Times New Roman" w:hAnsi="Calibri" w:cs="Calibri"/>
                <w:color w:val="9C0006"/>
                <w:sz w:val="22"/>
                <w:lang w:eastAsia="en-GB"/>
              </w:rPr>
              <w:t>17,07</w:t>
            </w:r>
          </w:p>
        </w:tc>
      </w:tr>
      <w:tr w:rsidR="00E50952" w:rsidRPr="00F44F9B" w14:paraId="54EB267B" w14:textId="77777777" w:rsidTr="00C53697">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6DBAF6B2"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120</w:t>
            </w:r>
          </w:p>
        </w:tc>
        <w:tc>
          <w:tcPr>
            <w:tcW w:w="1960" w:type="dxa"/>
            <w:tcBorders>
              <w:top w:val="nil"/>
              <w:left w:val="nil"/>
              <w:bottom w:val="single" w:sz="4" w:space="0" w:color="auto"/>
              <w:right w:val="single" w:sz="4" w:space="0" w:color="auto"/>
            </w:tcBorders>
            <w:shd w:val="clear" w:color="auto" w:fill="auto"/>
            <w:noWrap/>
            <w:vAlign w:val="bottom"/>
            <w:hideMark/>
          </w:tcPr>
          <w:p w14:paraId="3896F13E"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0,5</w:t>
            </w:r>
          </w:p>
        </w:tc>
        <w:tc>
          <w:tcPr>
            <w:tcW w:w="2140" w:type="dxa"/>
            <w:tcBorders>
              <w:top w:val="nil"/>
              <w:left w:val="nil"/>
              <w:bottom w:val="single" w:sz="4" w:space="0" w:color="auto"/>
              <w:right w:val="single" w:sz="4" w:space="0" w:color="auto"/>
            </w:tcBorders>
            <w:shd w:val="clear" w:color="auto" w:fill="auto"/>
            <w:noWrap/>
            <w:vAlign w:val="bottom"/>
            <w:hideMark/>
          </w:tcPr>
          <w:p w14:paraId="11B1A4A1"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16,67</w:t>
            </w:r>
          </w:p>
        </w:tc>
        <w:tc>
          <w:tcPr>
            <w:tcW w:w="2140" w:type="dxa"/>
            <w:tcBorders>
              <w:top w:val="nil"/>
              <w:left w:val="nil"/>
              <w:bottom w:val="single" w:sz="4" w:space="0" w:color="auto"/>
              <w:right w:val="single" w:sz="8" w:space="0" w:color="auto"/>
            </w:tcBorders>
            <w:shd w:val="clear" w:color="000000" w:fill="FFEB9C"/>
            <w:noWrap/>
            <w:vAlign w:val="bottom"/>
            <w:hideMark/>
          </w:tcPr>
          <w:p w14:paraId="67056471" w14:textId="77777777" w:rsidR="00E50952" w:rsidRPr="00F44F9B" w:rsidRDefault="00E50952" w:rsidP="00C53697">
            <w:pPr>
              <w:spacing w:after="0"/>
              <w:jc w:val="right"/>
              <w:rPr>
                <w:rFonts w:ascii="Calibri" w:eastAsia="Times New Roman" w:hAnsi="Calibri" w:cs="Calibri"/>
                <w:color w:val="9C5700"/>
                <w:sz w:val="22"/>
                <w:lang w:eastAsia="en-GB"/>
              </w:rPr>
            </w:pPr>
            <w:r w:rsidRPr="00F44F9B">
              <w:rPr>
                <w:rFonts w:ascii="Calibri" w:eastAsia="Times New Roman" w:hAnsi="Calibri" w:cs="Calibri"/>
                <w:color w:val="9C5700"/>
                <w:sz w:val="22"/>
                <w:lang w:eastAsia="en-GB"/>
              </w:rPr>
              <w:t>3,41</w:t>
            </w:r>
          </w:p>
        </w:tc>
      </w:tr>
      <w:tr w:rsidR="00E50952" w:rsidRPr="00F44F9B" w14:paraId="5E56981B" w14:textId="77777777" w:rsidTr="00C53697">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5C3017F2"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120</w:t>
            </w:r>
          </w:p>
        </w:tc>
        <w:tc>
          <w:tcPr>
            <w:tcW w:w="1960" w:type="dxa"/>
            <w:tcBorders>
              <w:top w:val="nil"/>
              <w:left w:val="nil"/>
              <w:bottom w:val="single" w:sz="4" w:space="0" w:color="auto"/>
              <w:right w:val="single" w:sz="4" w:space="0" w:color="auto"/>
            </w:tcBorders>
            <w:shd w:val="clear" w:color="auto" w:fill="auto"/>
            <w:noWrap/>
            <w:vAlign w:val="bottom"/>
            <w:hideMark/>
          </w:tcPr>
          <w:p w14:paraId="3C1381E5"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536B0602"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33,33</w:t>
            </w:r>
          </w:p>
        </w:tc>
        <w:tc>
          <w:tcPr>
            <w:tcW w:w="2140" w:type="dxa"/>
            <w:tcBorders>
              <w:top w:val="nil"/>
              <w:left w:val="nil"/>
              <w:bottom w:val="single" w:sz="4" w:space="0" w:color="auto"/>
              <w:right w:val="single" w:sz="8" w:space="0" w:color="auto"/>
            </w:tcBorders>
            <w:shd w:val="clear" w:color="000000" w:fill="FFC7CE"/>
            <w:noWrap/>
            <w:vAlign w:val="bottom"/>
            <w:hideMark/>
          </w:tcPr>
          <w:p w14:paraId="4BD25012" w14:textId="77777777" w:rsidR="00E50952" w:rsidRPr="00F44F9B" w:rsidRDefault="00E50952" w:rsidP="00C53697">
            <w:pPr>
              <w:spacing w:after="0"/>
              <w:jc w:val="right"/>
              <w:rPr>
                <w:rFonts w:ascii="Calibri" w:eastAsia="Times New Roman" w:hAnsi="Calibri" w:cs="Calibri"/>
                <w:color w:val="9C0006"/>
                <w:sz w:val="22"/>
                <w:lang w:eastAsia="en-GB"/>
              </w:rPr>
            </w:pPr>
            <w:r w:rsidRPr="00F44F9B">
              <w:rPr>
                <w:rFonts w:ascii="Calibri" w:eastAsia="Times New Roman" w:hAnsi="Calibri" w:cs="Calibri"/>
                <w:color w:val="9C0006"/>
                <w:sz w:val="22"/>
                <w:lang w:eastAsia="en-GB"/>
              </w:rPr>
              <w:t>6,83</w:t>
            </w:r>
          </w:p>
        </w:tc>
      </w:tr>
      <w:tr w:rsidR="00E50952" w:rsidRPr="00F44F9B" w14:paraId="1A8B1124" w14:textId="77777777" w:rsidTr="00C53697">
        <w:trPr>
          <w:trHeight w:val="315"/>
          <w:jc w:val="center"/>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3B162E48"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120</w:t>
            </w:r>
          </w:p>
        </w:tc>
        <w:tc>
          <w:tcPr>
            <w:tcW w:w="1960" w:type="dxa"/>
            <w:tcBorders>
              <w:top w:val="nil"/>
              <w:left w:val="nil"/>
              <w:bottom w:val="single" w:sz="8" w:space="0" w:color="auto"/>
              <w:right w:val="single" w:sz="4" w:space="0" w:color="auto"/>
            </w:tcBorders>
            <w:shd w:val="clear" w:color="auto" w:fill="auto"/>
            <w:noWrap/>
            <w:vAlign w:val="bottom"/>
            <w:hideMark/>
          </w:tcPr>
          <w:p w14:paraId="5CFA5E44"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5</w:t>
            </w:r>
          </w:p>
        </w:tc>
        <w:tc>
          <w:tcPr>
            <w:tcW w:w="2140" w:type="dxa"/>
            <w:tcBorders>
              <w:top w:val="nil"/>
              <w:left w:val="nil"/>
              <w:bottom w:val="single" w:sz="8" w:space="0" w:color="auto"/>
              <w:right w:val="single" w:sz="4" w:space="0" w:color="auto"/>
            </w:tcBorders>
            <w:shd w:val="clear" w:color="auto" w:fill="auto"/>
            <w:noWrap/>
            <w:vAlign w:val="bottom"/>
            <w:hideMark/>
          </w:tcPr>
          <w:p w14:paraId="0BFF35F1" w14:textId="77777777" w:rsidR="00E50952" w:rsidRPr="00F44F9B" w:rsidRDefault="00E50952" w:rsidP="00C53697">
            <w:pPr>
              <w:spacing w:after="0"/>
              <w:jc w:val="right"/>
              <w:rPr>
                <w:rFonts w:ascii="Calibri" w:eastAsia="Times New Roman" w:hAnsi="Calibri" w:cs="Calibri"/>
                <w:color w:val="000000"/>
                <w:sz w:val="22"/>
                <w:lang w:eastAsia="en-GB"/>
              </w:rPr>
            </w:pPr>
            <w:r w:rsidRPr="00F44F9B">
              <w:rPr>
                <w:rFonts w:ascii="Calibri" w:eastAsia="Times New Roman" w:hAnsi="Calibri" w:cs="Calibri"/>
                <w:color w:val="000000"/>
                <w:sz w:val="22"/>
                <w:lang w:eastAsia="en-GB"/>
              </w:rPr>
              <w:t>166,67</w:t>
            </w:r>
          </w:p>
        </w:tc>
        <w:tc>
          <w:tcPr>
            <w:tcW w:w="2140" w:type="dxa"/>
            <w:tcBorders>
              <w:top w:val="nil"/>
              <w:left w:val="nil"/>
              <w:bottom w:val="single" w:sz="8" w:space="0" w:color="auto"/>
              <w:right w:val="single" w:sz="8" w:space="0" w:color="auto"/>
            </w:tcBorders>
            <w:shd w:val="clear" w:color="000000" w:fill="FF0000"/>
            <w:noWrap/>
            <w:vAlign w:val="bottom"/>
            <w:hideMark/>
          </w:tcPr>
          <w:p w14:paraId="58C50CDB" w14:textId="77777777" w:rsidR="00E50952" w:rsidRPr="00F44F9B" w:rsidRDefault="00E50952" w:rsidP="00C53697">
            <w:pPr>
              <w:spacing w:after="0"/>
              <w:jc w:val="right"/>
              <w:rPr>
                <w:rFonts w:ascii="Calibri" w:eastAsia="Times New Roman" w:hAnsi="Calibri" w:cs="Calibri"/>
                <w:color w:val="FFFFFF"/>
                <w:sz w:val="22"/>
                <w:lang w:eastAsia="en-GB"/>
              </w:rPr>
            </w:pPr>
            <w:r w:rsidRPr="00F44F9B">
              <w:rPr>
                <w:rFonts w:ascii="Calibri" w:eastAsia="Times New Roman" w:hAnsi="Calibri" w:cs="Calibri"/>
                <w:color w:val="FFFFFF"/>
                <w:sz w:val="22"/>
                <w:lang w:eastAsia="en-GB"/>
              </w:rPr>
              <w:t>34,13</w:t>
            </w:r>
          </w:p>
        </w:tc>
      </w:tr>
    </w:tbl>
    <w:p w14:paraId="641D54EA" w14:textId="77777777" w:rsidR="00E50952" w:rsidRPr="000C43DB" w:rsidRDefault="00E50952" w:rsidP="00E50952">
      <w:pPr>
        <w:pStyle w:val="ListParagraph"/>
        <w:rPr>
          <w:rFonts w:cstheme="minorHAnsi"/>
        </w:rPr>
      </w:pPr>
    </w:p>
    <w:p w14:paraId="01470490" w14:textId="4925476B" w:rsidR="00E50952" w:rsidRDefault="00E50952" w:rsidP="005C23A4">
      <w:pPr>
        <w:rPr>
          <w:rFonts w:eastAsiaTheme="minorEastAsia"/>
        </w:rPr>
      </w:pPr>
      <w:r>
        <w:rPr>
          <w:rFonts w:eastAsiaTheme="minorEastAsia"/>
        </w:rPr>
        <w:t xml:space="preserve">For that, the NW will need to send TA commands between UEs consecutive adjustments. But the accuracy of the timing advance command, when UL SCS is equal to 120 kHz, is 1Ts. Therefore, there might be intrinsic error associated to the TA command. </w:t>
      </w:r>
    </w:p>
    <w:p w14:paraId="2BDEE569" w14:textId="43847AE3" w:rsidR="00E50952" w:rsidRPr="00E50952" w:rsidRDefault="00E50952" w:rsidP="00E50952">
      <w:pPr>
        <w:pStyle w:val="RAN4observation0"/>
      </w:pPr>
      <w:bookmarkStart w:id="7" w:name="_Toc163499374"/>
      <w:r>
        <w:rPr>
          <w:rFonts w:eastAsiaTheme="minorEastAsia"/>
        </w:rPr>
        <w:t>There might be intrinsic error associated to TA commands, associated to the accuracy available for TA commands.</w:t>
      </w:r>
      <w:bookmarkEnd w:id="7"/>
      <w:r>
        <w:rPr>
          <w:rFonts w:eastAsiaTheme="minorEastAsia"/>
        </w:rPr>
        <w:t xml:space="preserve"> </w:t>
      </w:r>
    </w:p>
    <w:p w14:paraId="0714ECCD" w14:textId="58430467" w:rsidR="00622A4B" w:rsidRDefault="00E50952" w:rsidP="005C23A4">
      <w:pPr>
        <w:rPr>
          <w:rFonts w:eastAsiaTheme="minorEastAsia"/>
        </w:rPr>
      </w:pPr>
      <w:r>
        <w:rPr>
          <w:rFonts w:eastAsiaTheme="minorEastAsia"/>
        </w:rPr>
        <w:t xml:space="preserve">That new source of inaccuracy will be added on top of the transmit timing error, causing even more impact to UL synchronization. </w:t>
      </w:r>
      <w:r w:rsidR="00074890">
        <w:rPr>
          <w:rFonts w:eastAsiaTheme="minorEastAsia"/>
        </w:rPr>
        <w:t xml:space="preserve">In conclusion, using 10 Ts as the transmit timing accuracy has some major feasibility concerns. </w:t>
      </w:r>
    </w:p>
    <w:p w14:paraId="58036A2F" w14:textId="058E5EF6" w:rsidR="00074890" w:rsidRDefault="00074890" w:rsidP="00074890">
      <w:pPr>
        <w:pStyle w:val="RAN4proposal"/>
        <w:rPr>
          <w:lang w:val="en-US"/>
        </w:rPr>
      </w:pPr>
      <w:bookmarkStart w:id="8" w:name="_Toc163499375"/>
      <w:r>
        <w:rPr>
          <w:lang w:val="en-US"/>
        </w:rPr>
        <w:t>Adopt 8.5 Ts as the transmit timing accuracy for Mobile VSAT connected to GSO satellites.</w:t>
      </w:r>
      <w:bookmarkEnd w:id="8"/>
      <w:r>
        <w:rPr>
          <w:lang w:val="en-US"/>
        </w:rPr>
        <w:t xml:space="preserve"> </w:t>
      </w:r>
    </w:p>
    <w:p w14:paraId="6F86079D" w14:textId="55A84B64" w:rsidR="00074890" w:rsidRDefault="00E50952" w:rsidP="00E50952">
      <w:pPr>
        <w:pStyle w:val="RAN4H3"/>
        <w:rPr>
          <w:lang w:val="en-US"/>
        </w:rPr>
      </w:pPr>
      <w:r>
        <w:rPr>
          <w:lang w:val="en-US"/>
        </w:rPr>
        <w:t>Side conditions for Tx Timing Accuracy for VSAT (Issue 1-6B)</w:t>
      </w:r>
    </w:p>
    <w:p w14:paraId="20A8D5E0" w14:textId="177E729A" w:rsidR="00074890" w:rsidRDefault="00074890" w:rsidP="00074890">
      <w:pPr>
        <w:rPr>
          <w:lang w:val="en-US"/>
        </w:rPr>
      </w:pPr>
      <w:r>
        <w:rPr>
          <w:lang w:val="en-US"/>
        </w:rPr>
        <w:t xml:space="preserve">Some companies have argued that because PRACH is more capable to absorb the transmit timing error (larger CP), it can be used to receive the initial transmission by the UE, and issue timing advance commands (the first already in the RAR), in the opposite direction of the transmit timing error, in order to alleviate the transmission error and maintain the UE within the ideal transmission timing for PUSCH and PUCCH.  However, a few considerations need to be made about this solution, and why side conditions are necessary for adopting larger Transmit Timing Error requirements. </w:t>
      </w:r>
    </w:p>
    <w:p w14:paraId="1E913321" w14:textId="77777777" w:rsidR="008D4954" w:rsidRDefault="008D4954" w:rsidP="00074890">
      <w:pPr>
        <w:rPr>
          <w:lang w:val="en-US"/>
        </w:rPr>
      </w:pPr>
    </w:p>
    <w:p w14:paraId="4E4BE74D" w14:textId="77777777" w:rsidR="008D4954" w:rsidRDefault="008D4954" w:rsidP="00074890">
      <w:pPr>
        <w:rPr>
          <w:lang w:val="en-US"/>
        </w:rPr>
      </w:pPr>
    </w:p>
    <w:p w14:paraId="06C20BAB" w14:textId="36950838" w:rsidR="00074890" w:rsidRDefault="00074890" w:rsidP="00074890">
      <w:pPr>
        <w:rPr>
          <w:rFonts w:cstheme="minorHAnsi"/>
        </w:rPr>
      </w:pPr>
      <w:r>
        <w:rPr>
          <w:rFonts w:cstheme="minorHAnsi"/>
        </w:rPr>
        <w:t xml:space="preserve">There are </w:t>
      </w:r>
      <w:r w:rsidRPr="0087241B">
        <w:rPr>
          <w:rFonts w:cstheme="minorHAnsi"/>
        </w:rPr>
        <w:t xml:space="preserve"> potential issues related to closed-loop time control</w:t>
      </w:r>
      <w:r>
        <w:rPr>
          <w:rFonts w:cstheme="minorHAnsi"/>
        </w:rPr>
        <w:t>, as it</w:t>
      </w:r>
      <w:r w:rsidRPr="001C20E9">
        <w:rPr>
          <w:rFonts w:cstheme="minorHAnsi"/>
        </w:rPr>
        <w:t xml:space="preserve"> </w:t>
      </w:r>
      <w:r>
        <w:rPr>
          <w:rFonts w:cstheme="minorHAnsi"/>
        </w:rPr>
        <w:t>may</w:t>
      </w:r>
      <w:r w:rsidRPr="001C20E9">
        <w:rPr>
          <w:rFonts w:cstheme="minorHAnsi"/>
        </w:rPr>
        <w:t xml:space="preserve"> not be capable </w:t>
      </w:r>
      <w:r>
        <w:rPr>
          <w:rFonts w:cstheme="minorHAnsi"/>
        </w:rPr>
        <w:t>of keeping</w:t>
      </w:r>
      <w:r w:rsidRPr="001C20E9">
        <w:rPr>
          <w:rFonts w:cstheme="minorHAnsi"/>
        </w:rPr>
        <w:t xml:space="preserve"> track of the developing </w:t>
      </w:r>
      <w:r>
        <w:rPr>
          <w:rFonts w:cstheme="minorHAnsi"/>
        </w:rPr>
        <w:t xml:space="preserve">transmit </w:t>
      </w:r>
      <w:r w:rsidRPr="001C20E9">
        <w:rPr>
          <w:rFonts w:cstheme="minorHAnsi"/>
        </w:rPr>
        <w:t xml:space="preserve">timing error. </w:t>
      </w:r>
      <w:r>
        <w:rPr>
          <w:rFonts w:cstheme="minorHAnsi"/>
        </w:rPr>
        <w:t>There are two ways where the transmit timing error develops for the UE, associated to the GNSS inaccuracy:</w:t>
      </w:r>
    </w:p>
    <w:p w14:paraId="5D465598" w14:textId="77777777" w:rsidR="00074890" w:rsidRDefault="00074890" w:rsidP="00074890">
      <w:pPr>
        <w:pStyle w:val="ListParagraph"/>
        <w:numPr>
          <w:ilvl w:val="0"/>
          <w:numId w:val="28"/>
        </w:numPr>
        <w:spacing w:after="0"/>
        <w:rPr>
          <w:rFonts w:cstheme="minorHAnsi"/>
          <w:szCs w:val="20"/>
        </w:rPr>
      </w:pPr>
      <w:r w:rsidRPr="00FB3F34">
        <w:rPr>
          <w:rFonts w:cstheme="minorHAnsi"/>
          <w:b/>
          <w:bCs/>
          <w:szCs w:val="20"/>
        </w:rPr>
        <w:t>Regular updates on GNSS:</w:t>
      </w:r>
      <w:r>
        <w:rPr>
          <w:rFonts w:cstheme="minorHAnsi"/>
          <w:szCs w:val="20"/>
        </w:rPr>
        <w:t xml:space="preserve"> </w:t>
      </w:r>
    </w:p>
    <w:p w14:paraId="6E4E8414" w14:textId="77777777" w:rsidR="00074890" w:rsidRDefault="00074890" w:rsidP="00074890">
      <w:pPr>
        <w:ind w:left="360"/>
        <w:rPr>
          <w:rFonts w:cstheme="minorHAnsi"/>
        </w:rPr>
      </w:pPr>
      <w:r w:rsidRPr="0087241B">
        <w:rPr>
          <w:rFonts w:cstheme="minorHAnsi"/>
        </w:rPr>
        <w:t xml:space="preserve">Each UE has its own GNSS implementation, and currently there are no requirements in how often or at which times a UE shall update its GNSS position. A moving UE would need to update its GNSS position constantly (or interpolate it constantly) to maintain good GNSS compensation. As evidenced by </w:t>
      </w:r>
      <w:r w:rsidRPr="00C32911">
        <w:rPr>
          <w:rFonts w:cstheme="minorHAnsi"/>
        </w:rPr>
        <w:fldChar w:fldCharType="begin"/>
      </w:r>
      <w:r w:rsidRPr="0087241B">
        <w:rPr>
          <w:rFonts w:cstheme="minorHAnsi"/>
        </w:rPr>
        <w:instrText xml:space="preserve"> REF _Ref163207867 \h  \* MERGEFORMAT </w:instrText>
      </w:r>
      <w:r w:rsidRPr="00C32911">
        <w:rPr>
          <w:rFonts w:cstheme="minorHAnsi"/>
        </w:rPr>
      </w:r>
      <w:r w:rsidRPr="00C32911">
        <w:rPr>
          <w:rFonts w:cstheme="minorHAnsi"/>
        </w:rPr>
        <w:fldChar w:fldCharType="separate"/>
      </w:r>
      <w:r w:rsidRPr="0087241B">
        <w:t xml:space="preserve">Table </w:t>
      </w:r>
      <w:r w:rsidRPr="0087241B">
        <w:rPr>
          <w:noProof/>
        </w:rPr>
        <w:t>1</w:t>
      </w:r>
      <w:r w:rsidRPr="00C32911">
        <w:rPr>
          <w:rFonts w:cstheme="minorHAnsi"/>
        </w:rPr>
        <w:fldChar w:fldCharType="end"/>
      </w:r>
      <w:r w:rsidRPr="0087241B">
        <w:rPr>
          <w:rFonts w:cstheme="minorHAnsi"/>
        </w:rPr>
        <w:t xml:space="preserve">, withing a very short time duration, the UE might drift away from the ideal timing advance by several Ts. </w:t>
      </w:r>
      <w:r w:rsidRPr="00C32911">
        <w:rPr>
          <w:rFonts w:cstheme="minorHAnsi"/>
        </w:rPr>
        <w:t xml:space="preserve">That would cause the network to send several Timing Advance Commands (TAC) for the interval between GNSS updates. </w:t>
      </w:r>
    </w:p>
    <w:p w14:paraId="552DE7A1" w14:textId="77777777" w:rsidR="00074890" w:rsidRDefault="00074890" w:rsidP="00074890">
      <w:pPr>
        <w:ind w:left="360"/>
        <w:rPr>
          <w:rFonts w:cstheme="minorHAnsi"/>
        </w:rPr>
      </w:pPr>
      <w:r w:rsidRPr="00C32911">
        <w:rPr>
          <w:rFonts w:cstheme="minorHAnsi"/>
        </w:rPr>
        <w:t>If</w:t>
      </w:r>
      <w:r>
        <w:rPr>
          <w:rFonts w:cstheme="minorHAnsi"/>
        </w:rPr>
        <w:t xml:space="preserve"> a UE updates its TA immediately after a GNSS update, then the UE will suddenly correct for a large timing offset (for example 8,5 Ts for a UE travelling at 60 km/h and </w:t>
      </w:r>
      <w:proofErr w:type="spellStart"/>
      <w:r>
        <w:rPr>
          <w:rFonts w:cstheme="minorHAnsi"/>
        </w:rPr>
        <w:t>updaing</w:t>
      </w:r>
      <w:proofErr w:type="spellEnd"/>
      <w:r>
        <w:rPr>
          <w:rFonts w:cstheme="minorHAnsi"/>
        </w:rPr>
        <w:t xml:space="preserve"> GNSS every half-second). But because the network has been maintaining Timing Advance through TACs, most of these 8,5 Ts would have already been corrected by TACs. </w:t>
      </w:r>
    </w:p>
    <w:p w14:paraId="5D1BE8C6" w14:textId="77777777" w:rsidR="00074890" w:rsidRDefault="00074890" w:rsidP="00074890">
      <w:pPr>
        <w:ind w:left="360"/>
        <w:rPr>
          <w:rFonts w:cstheme="minorHAnsi"/>
        </w:rPr>
      </w:pPr>
      <w:r>
        <w:rPr>
          <w:rFonts w:cstheme="minorHAnsi"/>
        </w:rPr>
        <w:t xml:space="preserve">Because the UE is updating the UE autonomous part of the TA, in our example by 8,5 Ts, this will cause a large jump on UE Timing Advance that cannot be handled by the network. </w:t>
      </w:r>
    </w:p>
    <w:p w14:paraId="65585477" w14:textId="77777777" w:rsidR="00E0474D" w:rsidRPr="00E0474D" w:rsidRDefault="00E0474D" w:rsidP="00E0474D">
      <w:pPr>
        <w:ind w:left="360"/>
        <w:rPr>
          <w:rFonts w:cstheme="minorHAnsi"/>
          <w:lang w:val="en-US"/>
        </w:rPr>
      </w:pPr>
      <w:r w:rsidRPr="00E0474D">
        <w:rPr>
          <w:rFonts w:cstheme="minorHAnsi"/>
          <w:lang w:val="en-US"/>
        </w:rPr>
        <w:t>Another solution would be the use of “one-shot” adjustment. But for that, we have the following considerations:</w:t>
      </w:r>
    </w:p>
    <w:p w14:paraId="08AD408F" w14:textId="77777777" w:rsidR="00E0474D" w:rsidRPr="00E0474D" w:rsidRDefault="00E0474D" w:rsidP="00E0474D">
      <w:pPr>
        <w:ind w:left="360"/>
        <w:rPr>
          <w:rFonts w:cstheme="minorHAnsi"/>
          <w:lang w:val="en-US"/>
        </w:rPr>
      </w:pPr>
      <w:r w:rsidRPr="00E0474D">
        <w:rPr>
          <w:rFonts w:cstheme="minorHAnsi"/>
          <w:lang w:val="en-US"/>
        </w:rPr>
        <w:t xml:space="preserve">When one-shot adjustments are performed, according to TS 36.133, the UE shall, after the one-shot adjustment, follow up with the pre-compensation. This means that the same problem persists, it was only delayed by one transmission. </w:t>
      </w:r>
    </w:p>
    <w:p w14:paraId="799273EE" w14:textId="77777777" w:rsidR="00E0474D" w:rsidRPr="00E0474D" w:rsidRDefault="00E0474D" w:rsidP="00E0474D">
      <w:pPr>
        <w:pStyle w:val="RAN4observation0"/>
        <w:rPr>
          <w:lang w:val="en-US"/>
        </w:rPr>
      </w:pPr>
      <w:bookmarkStart w:id="9" w:name="_Toc163499376"/>
      <w:r w:rsidRPr="00E0474D">
        <w:rPr>
          <w:lang w:val="en-US"/>
        </w:rPr>
        <w:t>Observation 1: If one-shot adjustments are used, as NTN UEs are not limited to autonomous correction values (</w:t>
      </w:r>
      <w:proofErr w:type="spellStart"/>
      <w:r w:rsidRPr="00E0474D">
        <w:rPr>
          <w:lang w:val="en-US"/>
        </w:rPr>
        <w:t>Tp</w:t>
      </w:r>
      <w:proofErr w:type="spellEnd"/>
      <w:r w:rsidRPr="00E0474D">
        <w:rPr>
          <w:lang w:val="en-US"/>
        </w:rPr>
        <w:t xml:space="preserve"> and </w:t>
      </w:r>
      <w:proofErr w:type="spellStart"/>
      <w:r w:rsidRPr="00E0474D">
        <w:rPr>
          <w:lang w:val="en-US"/>
        </w:rPr>
        <w:t>Tq</w:t>
      </w:r>
      <w:proofErr w:type="spellEnd"/>
      <w:r w:rsidRPr="00E0474D">
        <w:rPr>
          <w:lang w:val="en-US"/>
        </w:rPr>
        <w:t>), the problem persists, it is only delayed until after the one-shot.</w:t>
      </w:r>
      <w:bookmarkEnd w:id="9"/>
      <w:r w:rsidRPr="00E0474D">
        <w:rPr>
          <w:lang w:val="en-US"/>
        </w:rPr>
        <w:t xml:space="preserve"> </w:t>
      </w:r>
    </w:p>
    <w:p w14:paraId="02766455" w14:textId="77777777" w:rsidR="00E0474D" w:rsidRPr="00E0474D" w:rsidRDefault="00E0474D" w:rsidP="00E0474D">
      <w:pPr>
        <w:ind w:left="360"/>
        <w:rPr>
          <w:rFonts w:cstheme="minorHAnsi"/>
          <w:lang w:val="en-US"/>
        </w:rPr>
      </w:pPr>
      <w:r w:rsidRPr="00E0474D">
        <w:rPr>
          <w:rFonts w:cstheme="minorHAnsi"/>
          <w:lang w:val="en-US"/>
        </w:rPr>
        <w:t xml:space="preserve">Besides, differently from the HST scenario, for which the one-shot adjustment was developed to,  the event causing the adjustment is not known in NTN (in HST the event is the change of access point, whereas in NTN it is a new GNSS fix) by the NW (or by the TE). This means that the  UE could always claim to be in “one-shot” situations, where the requirements were not applicable for a period of time, because it was using the one shot adjustment.  </w:t>
      </w:r>
    </w:p>
    <w:p w14:paraId="5C082995" w14:textId="12F3AF87" w:rsidR="00E0474D" w:rsidRPr="00E0474D" w:rsidRDefault="00E0474D" w:rsidP="00E0474D">
      <w:pPr>
        <w:pStyle w:val="RAN4observation0"/>
        <w:rPr>
          <w:lang w:val="en-US"/>
        </w:rPr>
      </w:pPr>
      <w:bookmarkStart w:id="10" w:name="_Toc163499377"/>
      <w:r w:rsidRPr="00E0474D">
        <w:rPr>
          <w:lang w:val="en-US"/>
        </w:rPr>
        <w:t>Observation 2:  If one-shot adjustments are used in NTN, it will become difficult to verify UE requirements.</w:t>
      </w:r>
      <w:bookmarkEnd w:id="10"/>
    </w:p>
    <w:p w14:paraId="0F406522" w14:textId="77777777" w:rsidR="00074890" w:rsidRPr="005760BB" w:rsidRDefault="00074890" w:rsidP="00074890">
      <w:pPr>
        <w:pStyle w:val="ListParagraph"/>
        <w:rPr>
          <w:rFonts w:cstheme="minorHAnsi"/>
          <w:szCs w:val="20"/>
        </w:rPr>
      </w:pPr>
    </w:p>
    <w:p w14:paraId="34748FEF" w14:textId="77777777" w:rsidR="00074890" w:rsidRPr="005760BB" w:rsidRDefault="00074890" w:rsidP="00074890">
      <w:pPr>
        <w:ind w:firstLine="284"/>
        <w:rPr>
          <w:rFonts w:cstheme="minorHAnsi"/>
        </w:rPr>
      </w:pPr>
      <w:r w:rsidRPr="005760BB">
        <w:rPr>
          <w:rFonts w:cstheme="minorHAnsi"/>
        </w:rPr>
        <w:t>b)</w:t>
      </w:r>
      <w:r w:rsidRPr="005760BB">
        <w:rPr>
          <w:rFonts w:cstheme="minorHAnsi"/>
          <w:b/>
          <w:bCs/>
        </w:rPr>
        <w:t xml:space="preserve"> </w:t>
      </w:r>
      <w:r>
        <w:rPr>
          <w:rFonts w:cstheme="minorHAnsi"/>
          <w:b/>
          <w:bCs/>
        </w:rPr>
        <w:t xml:space="preserve"> </w:t>
      </w:r>
      <w:r w:rsidRPr="005760BB">
        <w:rPr>
          <w:rFonts w:cstheme="minorHAnsi"/>
          <w:b/>
          <w:bCs/>
        </w:rPr>
        <w:t xml:space="preserve">Fixing GNSS imprecisions: </w:t>
      </w:r>
    </w:p>
    <w:p w14:paraId="76C2A1B5" w14:textId="77777777" w:rsidR="00074890" w:rsidRDefault="00074890" w:rsidP="00074890">
      <w:pPr>
        <w:ind w:left="360"/>
        <w:rPr>
          <w:rFonts w:cstheme="minorHAnsi"/>
        </w:rPr>
      </w:pPr>
      <w:r w:rsidRPr="0087241B">
        <w:rPr>
          <w:rFonts w:cstheme="minorHAnsi"/>
        </w:rPr>
        <w:t xml:space="preserve">Between two different, consecutive, updates of GNSS the position of the UE might change significantly not because the UE has been moving, but because the position was initially imprecise and a more precise position has been acquired by the UE in the GNSS fix. </w:t>
      </w:r>
      <w:r>
        <w:rPr>
          <w:rFonts w:cstheme="minorHAnsi"/>
        </w:rPr>
        <w:t xml:space="preserve">That would also cause the UE to move its position suddenly by up to 40 m immediately. </w:t>
      </w:r>
    </w:p>
    <w:p w14:paraId="23C28D73" w14:textId="77777777" w:rsidR="00074890" w:rsidRDefault="00074890" w:rsidP="00074890">
      <w:pPr>
        <w:ind w:left="360"/>
        <w:rPr>
          <w:rFonts w:cstheme="minorHAnsi"/>
        </w:rPr>
      </w:pPr>
      <w:r>
        <w:rPr>
          <w:rFonts w:cstheme="minorHAnsi"/>
        </w:rPr>
        <w:t xml:space="preserve">Although the case a) might be mitigated by UE estimating its own velocity, case b) cannot be prevented by the UE, as the UE doesn’t know whether its current position is precise or not, and the updates in UE position are uncorrelated. </w:t>
      </w:r>
      <w:r w:rsidRPr="00C32911">
        <w:rPr>
          <w:rFonts w:cstheme="minorHAnsi"/>
        </w:rPr>
        <w:t xml:space="preserve"> </w:t>
      </w:r>
    </w:p>
    <w:p w14:paraId="79B92F71" w14:textId="5453F5B3" w:rsidR="00074890" w:rsidRDefault="00074890" w:rsidP="00074890">
      <w:pPr>
        <w:rPr>
          <w:rFonts w:cstheme="minorHAnsi"/>
        </w:rPr>
      </w:pPr>
      <w:r w:rsidRPr="001C20E9">
        <w:rPr>
          <w:rFonts w:cstheme="minorHAnsi"/>
        </w:rPr>
        <w:t xml:space="preserve">In </w:t>
      </w:r>
      <w:r>
        <w:rPr>
          <w:rFonts w:cstheme="minorHAnsi"/>
        </w:rPr>
        <w:t>these</w:t>
      </w:r>
      <w:r w:rsidRPr="001C20E9">
        <w:rPr>
          <w:rFonts w:cstheme="minorHAnsi"/>
        </w:rPr>
        <w:t xml:space="preserve"> situations where the time series of the GNSS position acquired by the UE develops </w:t>
      </w:r>
      <w:r>
        <w:rPr>
          <w:rFonts w:cstheme="minorHAnsi"/>
        </w:rPr>
        <w:t xml:space="preserve">with potential </w:t>
      </w:r>
      <w:r w:rsidRPr="001C20E9">
        <w:rPr>
          <w:rFonts w:cstheme="minorHAnsi"/>
        </w:rPr>
        <w:t>“sudden jumps” in the UE position that may lead to significant errors when the UE applies the UL timing pre-compensation. This would not allow the “gradual adjustments” in the timing advance performed autonomously by the UE to settle the TA within reasonable accuracy.</w:t>
      </w:r>
      <w:r>
        <w:rPr>
          <w:rFonts w:cstheme="minorHAnsi"/>
        </w:rPr>
        <w:t xml:space="preserve"> To prevent such </w:t>
      </w:r>
      <w:r w:rsidR="003F69C7">
        <w:rPr>
          <w:rFonts w:cstheme="minorHAnsi"/>
        </w:rPr>
        <w:t>behaviour</w:t>
      </w:r>
      <w:r>
        <w:rPr>
          <w:rFonts w:cstheme="minorHAnsi"/>
        </w:rPr>
        <w:t>, we propose the following:</w:t>
      </w:r>
    </w:p>
    <w:p w14:paraId="505E0ADF" w14:textId="77777777" w:rsidR="00074890" w:rsidRPr="0087241B" w:rsidRDefault="00074890" w:rsidP="00074890">
      <w:pPr>
        <w:rPr>
          <w:rFonts w:cstheme="minorHAnsi"/>
          <w:bCs/>
        </w:rPr>
      </w:pPr>
      <w:r w:rsidRPr="0087241B">
        <w:rPr>
          <w:rFonts w:cstheme="minorHAnsi"/>
          <w:b/>
          <w:bCs/>
        </w:rPr>
        <w:t xml:space="preserve">Proposal 3: If the UE updates its GNSS position, and difference between the TA calculated using the new UE position and the previous UE position is above the UL Transmit Timing inaccuracy, UE shall perform a new random access procedure to reacquire the correct transmit timing. </w:t>
      </w:r>
    </w:p>
    <w:p w14:paraId="42D3DA90" w14:textId="77777777" w:rsidR="00074890" w:rsidRDefault="00074890" w:rsidP="00074890">
      <w:pPr>
        <w:rPr>
          <w:rFonts w:cstheme="minorHAnsi"/>
        </w:rPr>
      </w:pPr>
      <w:r>
        <w:rPr>
          <w:rFonts w:cstheme="minorHAnsi"/>
        </w:rPr>
        <w:t>It should be noted that t</w:t>
      </w:r>
      <w:r w:rsidRPr="00C75641">
        <w:rPr>
          <w:rFonts w:cstheme="minorHAnsi"/>
        </w:rPr>
        <w:t xml:space="preserve">he intent of the </w:t>
      </w:r>
      <w:r>
        <w:rPr>
          <w:rFonts w:cstheme="minorHAnsi"/>
        </w:rPr>
        <w:t xml:space="preserve">above </w:t>
      </w:r>
      <w:r w:rsidRPr="00C75641">
        <w:rPr>
          <w:rFonts w:cstheme="minorHAnsi"/>
        </w:rPr>
        <w:t xml:space="preserve">proposal is not to cause the UE to perform several RA procedures, but to </w:t>
      </w:r>
      <w:r>
        <w:rPr>
          <w:rFonts w:cstheme="minorHAnsi"/>
        </w:rPr>
        <w:t xml:space="preserve">incentivize </w:t>
      </w:r>
      <w:r w:rsidRPr="00C75641">
        <w:rPr>
          <w:rFonts w:cstheme="minorHAnsi"/>
        </w:rPr>
        <w:t xml:space="preserve">UEs to maintain a reasonable refresh rate of their GNSS to prevent this situation. </w:t>
      </w:r>
    </w:p>
    <w:p w14:paraId="4EFA47C8" w14:textId="48961086" w:rsidR="008D4954" w:rsidRDefault="008D4954" w:rsidP="008D4954">
      <w:pPr>
        <w:pStyle w:val="RAN4H2"/>
      </w:pPr>
      <w:r>
        <w:lastRenderedPageBreak/>
        <w:t>RRC Re-establishment (Issue 2-4)</w:t>
      </w:r>
    </w:p>
    <w:p w14:paraId="72A0994C" w14:textId="77777777" w:rsidR="008D4954" w:rsidRDefault="008D4954" w:rsidP="008D4954">
      <w:r>
        <w:t>Another relevant discussion raised on the requirements for Type 2 UEs regarded the applicability of Re-establishment requirements. The current proposals were left for further discussion in the WF:</w:t>
      </w:r>
    </w:p>
    <w:tbl>
      <w:tblPr>
        <w:tblStyle w:val="TableGrid"/>
        <w:tblW w:w="0" w:type="auto"/>
        <w:tblLook w:val="04A0" w:firstRow="1" w:lastRow="0" w:firstColumn="1" w:lastColumn="0" w:noHBand="0" w:noVBand="1"/>
      </w:tblPr>
      <w:tblGrid>
        <w:gridCol w:w="9617"/>
      </w:tblGrid>
      <w:tr w:rsidR="008D4954" w14:paraId="0D95FC05" w14:textId="77777777" w:rsidTr="00C53697">
        <w:tc>
          <w:tcPr>
            <w:tcW w:w="9617" w:type="dxa"/>
          </w:tcPr>
          <w:p w14:paraId="1625EA0E" w14:textId="77777777" w:rsidR="008D4954" w:rsidRPr="003A5D22" w:rsidRDefault="008D4954" w:rsidP="00C53697">
            <w:pPr>
              <w:outlineLvl w:val="2"/>
              <w:rPr>
                <w:b/>
                <w:u w:val="single"/>
                <w:lang w:eastAsia="ko-KR"/>
              </w:rPr>
            </w:pPr>
            <w:bookmarkStart w:id="11" w:name="_Hlk147926214"/>
            <w:r w:rsidRPr="003A5D22">
              <w:rPr>
                <w:b/>
                <w:u w:val="single"/>
                <w:lang w:eastAsia="ko-KR"/>
              </w:rPr>
              <w:t>Issue 2-4: RRC Re-establishment</w:t>
            </w:r>
          </w:p>
          <w:p w14:paraId="4790CEDC" w14:textId="77777777" w:rsidR="008D4954" w:rsidRPr="003A5D22" w:rsidRDefault="008D4954" w:rsidP="00C53697">
            <w:pPr>
              <w:spacing w:after="120" w:line="252" w:lineRule="auto"/>
              <w:ind w:firstLine="284"/>
              <w:rPr>
                <w:b/>
                <w:bCs/>
                <w:u w:val="single"/>
                <w:lang w:eastAsia="ja-JP"/>
              </w:rPr>
            </w:pPr>
            <w:r w:rsidRPr="003A5D22">
              <w:rPr>
                <w:b/>
                <w:bCs/>
                <w:u w:val="single"/>
                <w:lang w:eastAsia="ja-JP"/>
              </w:rPr>
              <w:t>FFS:</w:t>
            </w:r>
          </w:p>
          <w:p w14:paraId="195CBB78" w14:textId="77777777" w:rsidR="008D4954" w:rsidRPr="003A5D22" w:rsidRDefault="008D4954" w:rsidP="008D4954">
            <w:pPr>
              <w:pStyle w:val="ListParagraph"/>
              <w:numPr>
                <w:ilvl w:val="0"/>
                <w:numId w:val="27"/>
              </w:numPr>
              <w:overflowPunct w:val="0"/>
              <w:autoSpaceDE w:val="0"/>
              <w:autoSpaceDN w:val="0"/>
              <w:adjustRightInd w:val="0"/>
              <w:spacing w:after="180" w:line="276" w:lineRule="auto"/>
              <w:ind w:left="644"/>
              <w:contextualSpacing w:val="0"/>
              <w:textAlignment w:val="baseline"/>
              <w:rPr>
                <w:lang w:eastAsia="ja-JP"/>
              </w:rPr>
            </w:pPr>
            <w:r w:rsidRPr="003A5D22">
              <w:rPr>
                <w:lang w:eastAsia="ja-JP"/>
              </w:rPr>
              <w:t>For Type 1 UE, whether to specify RRC Re-establishment for inter-satellite scenario.</w:t>
            </w:r>
          </w:p>
          <w:p w14:paraId="1590B380" w14:textId="77777777" w:rsidR="008D4954" w:rsidRPr="00C72CEF" w:rsidRDefault="008D4954" w:rsidP="008D4954">
            <w:pPr>
              <w:pStyle w:val="ListParagraph"/>
              <w:numPr>
                <w:ilvl w:val="0"/>
                <w:numId w:val="27"/>
              </w:numPr>
              <w:overflowPunct w:val="0"/>
              <w:autoSpaceDE w:val="0"/>
              <w:autoSpaceDN w:val="0"/>
              <w:adjustRightInd w:val="0"/>
              <w:spacing w:after="180" w:line="276" w:lineRule="auto"/>
              <w:ind w:left="644"/>
              <w:contextualSpacing w:val="0"/>
              <w:textAlignment w:val="baseline"/>
              <w:rPr>
                <w:highlight w:val="cyan"/>
                <w:lang w:eastAsia="ja-JP"/>
              </w:rPr>
            </w:pPr>
            <w:r w:rsidRPr="00C72CEF">
              <w:rPr>
                <w:highlight w:val="cyan"/>
                <w:lang w:eastAsia="ja-JP"/>
              </w:rPr>
              <w:t>For Type 2 UE, whether to specify RRC Re-establishment for inter-satellite scenario.</w:t>
            </w:r>
          </w:p>
          <w:p w14:paraId="6B430539" w14:textId="77777777" w:rsidR="008D4954" w:rsidRPr="00C72CEF" w:rsidRDefault="008D4954" w:rsidP="008D4954">
            <w:pPr>
              <w:pStyle w:val="ListParagraph"/>
              <w:numPr>
                <w:ilvl w:val="0"/>
                <w:numId w:val="27"/>
              </w:numPr>
              <w:overflowPunct w:val="0"/>
              <w:autoSpaceDE w:val="0"/>
              <w:autoSpaceDN w:val="0"/>
              <w:adjustRightInd w:val="0"/>
              <w:spacing w:after="180" w:line="276" w:lineRule="auto"/>
              <w:ind w:left="644"/>
              <w:contextualSpacing w:val="0"/>
              <w:textAlignment w:val="baseline"/>
              <w:rPr>
                <w:highlight w:val="cyan"/>
                <w:lang w:eastAsia="ja-JP"/>
              </w:rPr>
            </w:pPr>
            <w:r w:rsidRPr="00C72CEF">
              <w:rPr>
                <w:highlight w:val="cyan"/>
                <w:lang w:eastAsia="ja-JP"/>
              </w:rPr>
              <w:t xml:space="preserve">FFS: RRC Re-establishment requirements for intra-satellite scenario are the same as the existing FR1 NTN requirements with </w:t>
            </w:r>
            <w:proofErr w:type="spellStart"/>
            <w:r w:rsidRPr="00C72CEF">
              <w:rPr>
                <w:highlight w:val="cyan"/>
                <w:lang w:eastAsia="ja-JP"/>
              </w:rPr>
              <w:t>Ksatellite</w:t>
            </w:r>
            <w:proofErr w:type="spellEnd"/>
            <w:r w:rsidRPr="00C72CEF">
              <w:rPr>
                <w:highlight w:val="cyan"/>
                <w:lang w:eastAsia="ja-JP"/>
              </w:rPr>
              <w:t xml:space="preserve"> = 1.</w:t>
            </w:r>
          </w:p>
          <w:bookmarkEnd w:id="11"/>
          <w:p w14:paraId="052C3FBD" w14:textId="77777777" w:rsidR="008D4954" w:rsidRDefault="008D4954" w:rsidP="00C53697"/>
        </w:tc>
      </w:tr>
    </w:tbl>
    <w:p w14:paraId="4DF214CC" w14:textId="77777777" w:rsidR="008D4954" w:rsidRDefault="008D4954" w:rsidP="008D4954"/>
    <w:p w14:paraId="5B14ACCD" w14:textId="77777777" w:rsidR="008D4954" w:rsidRDefault="008D4954" w:rsidP="008D4954">
      <w:r>
        <w:t xml:space="preserve">In short, the difference between the Type 2 and the Type 1 UEs is the long time required by the former to retune its antennas and obtain alignment with the target satellite. </w:t>
      </w:r>
    </w:p>
    <w:p w14:paraId="43361462" w14:textId="77777777" w:rsidR="008D4954" w:rsidRDefault="008D4954" w:rsidP="008D4954">
      <w:r>
        <w:t xml:space="preserve">Assuming that “inter-satellite” RRC Re-establishment would require the type 2 UE to attempt RRC Re-establishment towards both source and target satellite, and that just the mechanical-steering of the beam between both (source and target satellite) might take up to 5-8 seconds, which represents by itself a significant proportion of the timer T311 (which can be configured between 1-30 seconds). Therefore, the total delay for this operation is too long and with potential impacts for RAN2. </w:t>
      </w:r>
    </w:p>
    <w:p w14:paraId="0CB8BA43" w14:textId="77777777" w:rsidR="008D4954" w:rsidRDefault="008D4954" w:rsidP="008D4954">
      <w:pPr>
        <w:rPr>
          <w:i/>
          <w:iCs/>
        </w:rPr>
      </w:pPr>
      <w:r>
        <w:t xml:space="preserve">Therefore, it is reasonable to assume that type 2 UEs shall only be required to attempt RRC Re-establishment within the source satellite. However, there is one exceptional scenario. In TS 38.133, clause 6.2C.1.1 states that </w:t>
      </w:r>
      <w:r w:rsidRPr="00402EA8">
        <w:rPr>
          <w:i/>
          <w:iCs/>
        </w:rPr>
        <w:t xml:space="preserve">“RRC connection re-establishment is initiated when a UE in RRC_CONNECTED state on the carrier loses RRC connection due to any of failure cases, including radio link failure, </w:t>
      </w:r>
      <w:r w:rsidRPr="00402EA8">
        <w:rPr>
          <w:i/>
          <w:iCs/>
          <w:highlight w:val="yellow"/>
        </w:rPr>
        <w:t>handover failure</w:t>
      </w:r>
      <w:r w:rsidRPr="00402EA8">
        <w:rPr>
          <w:i/>
          <w:iCs/>
        </w:rPr>
        <w:t>, and RRC connection reconfiguration failure.”</w:t>
      </w:r>
    </w:p>
    <w:p w14:paraId="25CE5AD5" w14:textId="77777777" w:rsidR="008D4954" w:rsidRDefault="008D4954" w:rsidP="008D4954">
      <w:r w:rsidRPr="00402EA8">
        <w:t>For a RRC Re-establis</w:t>
      </w:r>
      <w:r>
        <w:t>hment process triggered by a inter-satellite HO failure, the cost of the time and energy cost associated to the mechanical-steering of the UE beam goes in the opposite direction. This happens because the UE is already configured to measure the target cell when the HO failure occurs. In this scenario, it is expected that the RRC Re-establishment attempt is only tried toward the target cell.</w:t>
      </w:r>
    </w:p>
    <w:p w14:paraId="787F6395" w14:textId="77777777" w:rsidR="008D4954" w:rsidRPr="00402EA8" w:rsidRDefault="008D4954" w:rsidP="008D4954">
      <w:r>
        <w:t>Therefore, we propose:</w:t>
      </w:r>
    </w:p>
    <w:p w14:paraId="4A1C52E6" w14:textId="77777777" w:rsidR="008D4954" w:rsidRDefault="008D4954" w:rsidP="008D4954">
      <w:pPr>
        <w:pStyle w:val="RAN4proposal"/>
      </w:pPr>
      <w:bookmarkStart w:id="12" w:name="_Toc149680448"/>
      <w:bookmarkStart w:id="13" w:name="_Toc163499378"/>
      <w:r>
        <w:t>Inter-satellite RRC re-establishment requirement is applicable only when the cause for the RRC re-establishment is an inter-satellite HO failure. Intra-satellite requirements are not applicable in this scenario.</w:t>
      </w:r>
      <w:bookmarkEnd w:id="12"/>
      <w:bookmarkEnd w:id="13"/>
    </w:p>
    <w:p w14:paraId="3BA5207D" w14:textId="77777777" w:rsidR="008D4954" w:rsidRPr="00402EA8" w:rsidRDefault="008D4954" w:rsidP="008D4954">
      <w:pPr>
        <w:pStyle w:val="RAN4proposal"/>
      </w:pPr>
      <w:bookmarkStart w:id="14" w:name="_Toc149680449"/>
      <w:bookmarkStart w:id="15" w:name="_Toc163499379"/>
      <w:r>
        <w:t>For the other scenarios, RRC re-establishment requirements are only applicable for intra-satellite re-establishments.</w:t>
      </w:r>
      <w:bookmarkEnd w:id="14"/>
      <w:bookmarkEnd w:id="15"/>
      <w:r>
        <w:t xml:space="preserve"> </w:t>
      </w:r>
    </w:p>
    <w:p w14:paraId="6F4F4440" w14:textId="77777777" w:rsidR="008D4954" w:rsidRPr="008D4954" w:rsidRDefault="008D4954" w:rsidP="008D4954"/>
    <w:p w14:paraId="2996AF9A" w14:textId="77777777" w:rsidR="003F69C7" w:rsidRPr="00614DD8" w:rsidRDefault="003F69C7" w:rsidP="005C23A4">
      <w:pPr>
        <w:rPr>
          <w:lang w:val="en-US"/>
        </w:rPr>
      </w:pPr>
    </w:p>
    <w:p w14:paraId="55E848BB" w14:textId="77777777" w:rsidR="00CD7492" w:rsidRPr="00614DD8" w:rsidRDefault="00CD7492" w:rsidP="00A37002">
      <w:pPr>
        <w:pStyle w:val="RAN4H1"/>
        <w:rPr>
          <w:lang w:val="en-US"/>
        </w:rPr>
      </w:pPr>
      <w:bookmarkStart w:id="16" w:name="_Toc116995848"/>
      <w:r w:rsidRPr="00614DD8">
        <w:rPr>
          <w:lang w:val="en-US"/>
        </w:rPr>
        <w:t>Conclusion</w:t>
      </w:r>
      <w:bookmarkEnd w:id="16"/>
    </w:p>
    <w:p w14:paraId="4B3B1D94" w14:textId="2E5081C2" w:rsidR="00381F95" w:rsidRPr="00614DD8" w:rsidRDefault="00E0474D" w:rsidP="00936159">
      <w:pPr>
        <w:rPr>
          <w:lang w:val="en-US"/>
        </w:rPr>
      </w:pPr>
      <w:r>
        <w:rPr>
          <w:lang w:val="en-US"/>
        </w:rPr>
        <w:t xml:space="preserve">In this paper we discussed the Transmit timing accuracy for mobile VSATs and expressed our views in what concerns the maximum allowed timing error and potential side conditions to be used if the requirements needs to be further relaxed from the maximum proposed value. </w:t>
      </w:r>
      <w:r w:rsidR="000E3505">
        <w:rPr>
          <w:lang w:val="en-US"/>
        </w:rPr>
        <w:t>Based on the discussion we have the following set of observations and proposals:</w:t>
      </w:r>
    </w:p>
    <w:bookmarkStart w:id="17" w:name="_Toc116995849"/>
    <w:p w14:paraId="7B34B8B3" w14:textId="55DA5E54" w:rsidR="000E3505" w:rsidRDefault="00E0474D">
      <w:pPr>
        <w:pStyle w:val="TOC1"/>
        <w:rPr>
          <w:rFonts w:asciiTheme="minorHAnsi" w:eastAsiaTheme="minorEastAsia" w:hAnsiTheme="minorHAnsi"/>
          <w:b w:val="0"/>
          <w:iCs w:val="0"/>
          <w:kern w:val="2"/>
          <w:sz w:val="22"/>
          <w:lang w:eastAsia="en-GB"/>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63499374" w:history="1">
        <w:r w:rsidR="000E3505" w:rsidRPr="00F81A40">
          <w:rPr>
            <w:rStyle w:val="Hyperlink"/>
          </w:rPr>
          <w:t>Observation 1: There might be intrinsic error associated to TA commands, associated to the accuracy available for TA commands.</w:t>
        </w:r>
      </w:hyperlink>
    </w:p>
    <w:p w14:paraId="309E9FD8" w14:textId="0024A0F2" w:rsidR="000E3505" w:rsidRDefault="000E3505">
      <w:pPr>
        <w:pStyle w:val="TOC1"/>
        <w:rPr>
          <w:rFonts w:asciiTheme="minorHAnsi" w:eastAsiaTheme="minorEastAsia" w:hAnsiTheme="minorHAnsi"/>
          <w:b w:val="0"/>
          <w:iCs w:val="0"/>
          <w:kern w:val="2"/>
          <w:sz w:val="22"/>
          <w:lang w:eastAsia="en-GB"/>
          <w14:ligatures w14:val="standardContextual"/>
        </w:rPr>
      </w:pPr>
      <w:hyperlink w:anchor="_Toc163499375" w:history="1">
        <w:r w:rsidRPr="00F81A40">
          <w:rPr>
            <w:rStyle w:val="Hyperlink"/>
            <w:lang w:val="en-US"/>
          </w:rPr>
          <w:t>Proposal 1: Adopt 8.5 Ts as the transmit timing accuracy for Mobile VSAT connected to GSO satellites.</w:t>
        </w:r>
      </w:hyperlink>
    </w:p>
    <w:p w14:paraId="5066DBD6" w14:textId="4551E172" w:rsidR="000E3505" w:rsidRDefault="000E3505">
      <w:pPr>
        <w:pStyle w:val="TOC1"/>
        <w:rPr>
          <w:rFonts w:asciiTheme="minorHAnsi" w:eastAsiaTheme="minorEastAsia" w:hAnsiTheme="minorHAnsi"/>
          <w:b w:val="0"/>
          <w:iCs w:val="0"/>
          <w:kern w:val="2"/>
          <w:sz w:val="22"/>
          <w:lang w:eastAsia="en-GB"/>
          <w14:ligatures w14:val="standardContextual"/>
        </w:rPr>
      </w:pPr>
      <w:hyperlink w:anchor="_Toc163499376" w:history="1">
        <w:r w:rsidRPr="00F81A40">
          <w:rPr>
            <w:rStyle w:val="Hyperlink"/>
            <w:lang w:val="en-US"/>
          </w:rPr>
          <w:t>Observation 2: Observation 1: If one-shot adjustments are used, as NTN UEs are not limited to autonomous correction values (Tp and Tq), the problem persists, it is only delayed until after the one-shot.</w:t>
        </w:r>
      </w:hyperlink>
    </w:p>
    <w:p w14:paraId="150C8DB1" w14:textId="23EAC974" w:rsidR="000E3505" w:rsidRDefault="000E3505">
      <w:pPr>
        <w:pStyle w:val="TOC1"/>
        <w:rPr>
          <w:rFonts w:asciiTheme="minorHAnsi" w:eastAsiaTheme="minorEastAsia" w:hAnsiTheme="minorHAnsi"/>
          <w:b w:val="0"/>
          <w:iCs w:val="0"/>
          <w:kern w:val="2"/>
          <w:sz w:val="22"/>
          <w:lang w:eastAsia="en-GB"/>
          <w14:ligatures w14:val="standardContextual"/>
        </w:rPr>
      </w:pPr>
      <w:hyperlink w:anchor="_Toc163499377" w:history="1">
        <w:r w:rsidRPr="00F81A40">
          <w:rPr>
            <w:rStyle w:val="Hyperlink"/>
            <w:lang w:val="en-US"/>
          </w:rPr>
          <w:t>Observation 3: Observation 2:  If one-shot adjustments are used in NTN, it will become difficult to verify UE requirements.</w:t>
        </w:r>
      </w:hyperlink>
    </w:p>
    <w:p w14:paraId="1DA476D3" w14:textId="6F65549E" w:rsidR="000E3505" w:rsidRDefault="000E3505">
      <w:pPr>
        <w:pStyle w:val="TOC1"/>
        <w:rPr>
          <w:rFonts w:asciiTheme="minorHAnsi" w:eastAsiaTheme="minorEastAsia" w:hAnsiTheme="minorHAnsi"/>
          <w:b w:val="0"/>
          <w:iCs w:val="0"/>
          <w:kern w:val="2"/>
          <w:sz w:val="22"/>
          <w:lang w:eastAsia="en-GB"/>
          <w14:ligatures w14:val="standardContextual"/>
        </w:rPr>
      </w:pPr>
      <w:hyperlink w:anchor="_Toc163499378" w:history="1">
        <w:r w:rsidRPr="00F81A40">
          <w:rPr>
            <w:rStyle w:val="Hyperlink"/>
          </w:rPr>
          <w:t>Proposal 2: Inter-satellite RRC re-establishment requirement is applicable only when the cause for the RRC re-establishment is an inter-satellite HO failure. Intra-satellite requirements are not applicable in this scenario.</w:t>
        </w:r>
      </w:hyperlink>
    </w:p>
    <w:p w14:paraId="496F46FB" w14:textId="570328E8" w:rsidR="000E3505" w:rsidRDefault="000E3505">
      <w:pPr>
        <w:pStyle w:val="TOC1"/>
        <w:rPr>
          <w:rFonts w:asciiTheme="minorHAnsi" w:eastAsiaTheme="minorEastAsia" w:hAnsiTheme="minorHAnsi"/>
          <w:b w:val="0"/>
          <w:iCs w:val="0"/>
          <w:kern w:val="2"/>
          <w:sz w:val="22"/>
          <w:lang w:eastAsia="en-GB"/>
          <w14:ligatures w14:val="standardContextual"/>
        </w:rPr>
      </w:pPr>
      <w:hyperlink w:anchor="_Toc163499379" w:history="1">
        <w:r w:rsidRPr="00F81A40">
          <w:rPr>
            <w:rStyle w:val="Hyperlink"/>
          </w:rPr>
          <w:t>Proposal 3: For the other scenarios, RRC re-establishment requirements are only applicable for intra-satellite re-establishments.</w:t>
        </w:r>
      </w:hyperlink>
    </w:p>
    <w:p w14:paraId="1114C48C" w14:textId="4D02EC37" w:rsidR="00847264" w:rsidRPr="00614DD8" w:rsidRDefault="00E0474D" w:rsidP="008C39F7">
      <w:pPr>
        <w:rPr>
          <w:lang w:val="en-US"/>
        </w:rPr>
      </w:pPr>
      <w:r>
        <w:rPr>
          <w:i/>
          <w:iCs/>
          <w:u w:val="single"/>
          <w:lang w:val="en-US"/>
        </w:rPr>
        <w:fldChar w:fldCharType="end"/>
      </w:r>
    </w:p>
    <w:p w14:paraId="64C4DE23"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7"/>
    </w:p>
    <w:p w14:paraId="428C44A3" w14:textId="77777777" w:rsidR="00CA1D00" w:rsidRDefault="00CA1D00" w:rsidP="00CA1D00">
      <w:pPr>
        <w:numPr>
          <w:ilvl w:val="0"/>
          <w:numId w:val="21"/>
        </w:numPr>
        <w:overflowPunct w:val="0"/>
        <w:autoSpaceDE w:val="0"/>
        <w:autoSpaceDN w:val="0"/>
        <w:adjustRightInd w:val="0"/>
        <w:spacing w:after="0" w:line="240" w:lineRule="auto"/>
        <w:jc w:val="both"/>
        <w:textAlignment w:val="baseline"/>
      </w:pPr>
      <w:bookmarkStart w:id="18" w:name="_Ref114500673"/>
      <w:bookmarkStart w:id="19" w:name="_Ref54013899"/>
      <w:bookmarkStart w:id="20" w:name="_Ref141960737"/>
      <w:bookmarkEnd w:id="18"/>
      <w:r w:rsidRPr="00FD51CE">
        <w:t>RP-223534</w:t>
      </w:r>
      <w:r w:rsidRPr="00FF6B64">
        <w:t xml:space="preserve">, </w:t>
      </w:r>
      <w:bookmarkEnd w:id="19"/>
      <w:r w:rsidRPr="00917899">
        <w:rPr>
          <w:i/>
          <w:iCs/>
        </w:rPr>
        <w:t>“NR NTN (Non-Terrestrial Networks) enhancements”</w:t>
      </w:r>
      <w:r>
        <w:t>, Thales</w:t>
      </w:r>
      <w:bookmarkEnd w:id="20"/>
    </w:p>
    <w:p w14:paraId="0D13FBC2" w14:textId="43BF4210" w:rsidR="00CA1D00" w:rsidRDefault="00B501F7" w:rsidP="00CA1D00">
      <w:pPr>
        <w:pStyle w:val="ListParagraph"/>
        <w:numPr>
          <w:ilvl w:val="0"/>
          <w:numId w:val="21"/>
        </w:numPr>
        <w:ind w:right="-22"/>
      </w:pPr>
      <w:bookmarkStart w:id="21" w:name="_Ref158818293"/>
      <w:bookmarkStart w:id="22" w:name="_Ref163464365"/>
      <w:bookmarkStart w:id="23" w:name="_Ref158386928"/>
      <w:r w:rsidRPr="00B501F7">
        <w:t>R4-2403492</w:t>
      </w:r>
      <w:r w:rsidR="00CA1D00">
        <w:t xml:space="preserve">, </w:t>
      </w:r>
      <w:r w:rsidR="00CA1D00" w:rsidRPr="0099133A">
        <w:rPr>
          <w:rFonts w:cs="Arial"/>
          <w:i/>
          <w:iCs/>
          <w:sz w:val="18"/>
          <w:szCs w:val="18"/>
        </w:rPr>
        <w:t>WF on NTN RRM requirements</w:t>
      </w:r>
      <w:r w:rsidR="00CA1D00">
        <w:rPr>
          <w:rFonts w:cs="Arial"/>
          <w:i/>
          <w:iCs/>
          <w:sz w:val="18"/>
          <w:szCs w:val="18"/>
        </w:rPr>
        <w:t xml:space="preserve">, </w:t>
      </w:r>
      <w:r w:rsidR="00CA1D00" w:rsidRPr="0099133A">
        <w:t>Moderator (Qualcomm Incorporated),</w:t>
      </w:r>
      <w:r>
        <w:t xml:space="preserve"> RAN4 #110,</w:t>
      </w:r>
      <w:r w:rsidR="00CA1D00" w:rsidRPr="0099133A">
        <w:t xml:space="preserve"> </w:t>
      </w:r>
      <w:bookmarkEnd w:id="21"/>
      <w:r w:rsidRPr="00B501F7">
        <w:t xml:space="preserve">Athens, </w:t>
      </w:r>
      <w:r>
        <w:t xml:space="preserve">Greece, </w:t>
      </w:r>
      <w:r w:rsidRPr="00B501F7">
        <w:t>26 Feb – 01 Mar, 2024</w:t>
      </w:r>
      <w:bookmarkEnd w:id="22"/>
    </w:p>
    <w:p w14:paraId="2A19B913" w14:textId="77777777" w:rsidR="005F2D2C" w:rsidRDefault="005F2D2C" w:rsidP="005F2D2C">
      <w:pPr>
        <w:numPr>
          <w:ilvl w:val="0"/>
          <w:numId w:val="21"/>
        </w:numPr>
        <w:overflowPunct w:val="0"/>
        <w:autoSpaceDE w:val="0"/>
        <w:autoSpaceDN w:val="0"/>
        <w:adjustRightInd w:val="0"/>
        <w:spacing w:after="0" w:line="240" w:lineRule="auto"/>
        <w:jc w:val="both"/>
        <w:textAlignment w:val="baseline"/>
      </w:pPr>
      <w:bookmarkStart w:id="24" w:name="_Ref130303734"/>
      <w:bookmarkStart w:id="25" w:name="_Ref158888241"/>
      <w:r>
        <w:t xml:space="preserve">TS 38.211, </w:t>
      </w:r>
      <w:r w:rsidRPr="00AD4F5C">
        <w:rPr>
          <w:rFonts w:ascii="Arial" w:hAnsi="Arial" w:cs="Arial"/>
          <w:i/>
          <w:iCs/>
          <w:color w:val="000000"/>
          <w:sz w:val="18"/>
          <w:szCs w:val="18"/>
        </w:rPr>
        <w:t>NR; Physical channels and modulation</w:t>
      </w:r>
      <w:r>
        <w:rPr>
          <w:rFonts w:ascii="Arial" w:hAnsi="Arial" w:cs="Arial"/>
          <w:color w:val="000000"/>
          <w:sz w:val="18"/>
          <w:szCs w:val="18"/>
        </w:rPr>
        <w:t>, V17.4.0, 3GPP</w:t>
      </w:r>
      <w:bookmarkEnd w:id="24"/>
    </w:p>
    <w:bookmarkEnd w:id="25"/>
    <w:bookmarkEnd w:id="23"/>
    <w:p w14:paraId="2D151FD3" w14:textId="77777777" w:rsidR="00E43BF9" w:rsidRPr="00614DD8" w:rsidRDefault="00E43BF9" w:rsidP="00E43BF9">
      <w:pPr>
        <w:ind w:right="-22"/>
        <w:rPr>
          <w:lang w:val="en-US"/>
        </w:rPr>
      </w:pPr>
    </w:p>
    <w:sectPr w:rsidR="00E43BF9" w:rsidRPr="00614DD8" w:rsidSect="00CA1D0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D10C8" w14:textId="77777777" w:rsidR="00CA1D00" w:rsidRDefault="00CA1D00" w:rsidP="00001C9B">
      <w:pPr>
        <w:spacing w:after="0" w:line="240" w:lineRule="auto"/>
      </w:pPr>
      <w:r>
        <w:separator/>
      </w:r>
    </w:p>
  </w:endnote>
  <w:endnote w:type="continuationSeparator" w:id="0">
    <w:p w14:paraId="0209D901" w14:textId="77777777" w:rsidR="00CA1D00" w:rsidRDefault="00CA1D00" w:rsidP="00001C9B">
      <w:pPr>
        <w:spacing w:after="0" w:line="240" w:lineRule="auto"/>
      </w:pPr>
      <w:r>
        <w:continuationSeparator/>
      </w:r>
    </w:p>
  </w:endnote>
  <w:endnote w:type="continuationNotice" w:id="1">
    <w:p w14:paraId="1D547BE7" w14:textId="77777777" w:rsidR="00F045BB" w:rsidRDefault="00F04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72AEB" w14:textId="77777777" w:rsidR="00CA1D00" w:rsidRDefault="00CA1D00" w:rsidP="00001C9B">
      <w:pPr>
        <w:spacing w:after="0" w:line="240" w:lineRule="auto"/>
      </w:pPr>
      <w:r>
        <w:separator/>
      </w:r>
    </w:p>
  </w:footnote>
  <w:footnote w:type="continuationSeparator" w:id="0">
    <w:p w14:paraId="04738685" w14:textId="77777777" w:rsidR="00CA1D00" w:rsidRDefault="00CA1D00" w:rsidP="00001C9B">
      <w:pPr>
        <w:spacing w:after="0" w:line="240" w:lineRule="auto"/>
      </w:pPr>
      <w:r>
        <w:continuationSeparator/>
      </w:r>
    </w:p>
  </w:footnote>
  <w:footnote w:type="continuationNotice" w:id="1">
    <w:p w14:paraId="123A3D27" w14:textId="77777777" w:rsidR="00F045BB" w:rsidRDefault="00F045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A60042"/>
    <w:multiLevelType w:val="hybridMultilevel"/>
    <w:tmpl w:val="70C6CDC6"/>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640774596">
    <w:abstractNumId w:val="13"/>
  </w:num>
  <w:num w:numId="28" w16cid:durableId="325863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A1D00"/>
    <w:rsid w:val="00001C9B"/>
    <w:rsid w:val="000040DC"/>
    <w:rsid w:val="00011784"/>
    <w:rsid w:val="000151EF"/>
    <w:rsid w:val="000239F5"/>
    <w:rsid w:val="00053AAA"/>
    <w:rsid w:val="00072CCA"/>
    <w:rsid w:val="00074890"/>
    <w:rsid w:val="0008612A"/>
    <w:rsid w:val="00090E18"/>
    <w:rsid w:val="000A10BC"/>
    <w:rsid w:val="000A7F53"/>
    <w:rsid w:val="000B0056"/>
    <w:rsid w:val="000C3C7B"/>
    <w:rsid w:val="000D0F93"/>
    <w:rsid w:val="000E3505"/>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77B56"/>
    <w:rsid w:val="00282A7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3F69C7"/>
    <w:rsid w:val="00404C4C"/>
    <w:rsid w:val="0041423F"/>
    <w:rsid w:val="00414F81"/>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A86"/>
    <w:rsid w:val="005B3029"/>
    <w:rsid w:val="005B4801"/>
    <w:rsid w:val="005B622D"/>
    <w:rsid w:val="005C23A4"/>
    <w:rsid w:val="005D1CDF"/>
    <w:rsid w:val="005D2BB7"/>
    <w:rsid w:val="005D6FFE"/>
    <w:rsid w:val="005E61A8"/>
    <w:rsid w:val="005F2D2C"/>
    <w:rsid w:val="005F6419"/>
    <w:rsid w:val="0060301D"/>
    <w:rsid w:val="0060543D"/>
    <w:rsid w:val="006104DD"/>
    <w:rsid w:val="006130B5"/>
    <w:rsid w:val="00614DD8"/>
    <w:rsid w:val="00617400"/>
    <w:rsid w:val="00622A4B"/>
    <w:rsid w:val="00632D29"/>
    <w:rsid w:val="00664950"/>
    <w:rsid w:val="00681D9D"/>
    <w:rsid w:val="00683220"/>
    <w:rsid w:val="00687FA0"/>
    <w:rsid w:val="006A3C11"/>
    <w:rsid w:val="006B7010"/>
    <w:rsid w:val="006C3095"/>
    <w:rsid w:val="006E1151"/>
    <w:rsid w:val="006E6311"/>
    <w:rsid w:val="007145FF"/>
    <w:rsid w:val="00715B2A"/>
    <w:rsid w:val="00733B21"/>
    <w:rsid w:val="007450F1"/>
    <w:rsid w:val="00751515"/>
    <w:rsid w:val="007626B7"/>
    <w:rsid w:val="0078212B"/>
    <w:rsid w:val="00784DF6"/>
    <w:rsid w:val="00785232"/>
    <w:rsid w:val="007B186C"/>
    <w:rsid w:val="007C1696"/>
    <w:rsid w:val="007C3ED0"/>
    <w:rsid w:val="007C48C4"/>
    <w:rsid w:val="007C5971"/>
    <w:rsid w:val="007E42DC"/>
    <w:rsid w:val="007F54B9"/>
    <w:rsid w:val="00806A76"/>
    <w:rsid w:val="00811C9D"/>
    <w:rsid w:val="00816C80"/>
    <w:rsid w:val="00841BCD"/>
    <w:rsid w:val="00847264"/>
    <w:rsid w:val="00851A8E"/>
    <w:rsid w:val="0085365B"/>
    <w:rsid w:val="008826C1"/>
    <w:rsid w:val="00883DFD"/>
    <w:rsid w:val="0089210C"/>
    <w:rsid w:val="00893D2E"/>
    <w:rsid w:val="008A1BF7"/>
    <w:rsid w:val="008A5B0E"/>
    <w:rsid w:val="008B0961"/>
    <w:rsid w:val="008C39F7"/>
    <w:rsid w:val="008D4954"/>
    <w:rsid w:val="0090091A"/>
    <w:rsid w:val="009042BD"/>
    <w:rsid w:val="00904FE4"/>
    <w:rsid w:val="00927740"/>
    <w:rsid w:val="00936159"/>
    <w:rsid w:val="00944387"/>
    <w:rsid w:val="00977E1D"/>
    <w:rsid w:val="009B0573"/>
    <w:rsid w:val="009B7B4B"/>
    <w:rsid w:val="009B7C21"/>
    <w:rsid w:val="009E4E6E"/>
    <w:rsid w:val="00A04992"/>
    <w:rsid w:val="00A147AA"/>
    <w:rsid w:val="00A21D71"/>
    <w:rsid w:val="00A22B78"/>
    <w:rsid w:val="00A25AE5"/>
    <w:rsid w:val="00A26442"/>
    <w:rsid w:val="00A37002"/>
    <w:rsid w:val="00A4355E"/>
    <w:rsid w:val="00A520D9"/>
    <w:rsid w:val="00A54B5C"/>
    <w:rsid w:val="00A64DA0"/>
    <w:rsid w:val="00A92BCD"/>
    <w:rsid w:val="00AA1B0E"/>
    <w:rsid w:val="00AA47B6"/>
    <w:rsid w:val="00AC163B"/>
    <w:rsid w:val="00AC5CA7"/>
    <w:rsid w:val="00AC6058"/>
    <w:rsid w:val="00AE2BA5"/>
    <w:rsid w:val="00AE56B1"/>
    <w:rsid w:val="00AE6D09"/>
    <w:rsid w:val="00AF7A7C"/>
    <w:rsid w:val="00B02070"/>
    <w:rsid w:val="00B026E9"/>
    <w:rsid w:val="00B408B6"/>
    <w:rsid w:val="00B501F7"/>
    <w:rsid w:val="00B542DA"/>
    <w:rsid w:val="00B73862"/>
    <w:rsid w:val="00B73F43"/>
    <w:rsid w:val="00B75BBF"/>
    <w:rsid w:val="00B81CDC"/>
    <w:rsid w:val="00BA308C"/>
    <w:rsid w:val="00BA6B66"/>
    <w:rsid w:val="00BA6E48"/>
    <w:rsid w:val="00BB57FA"/>
    <w:rsid w:val="00BE0AF6"/>
    <w:rsid w:val="00BE1F03"/>
    <w:rsid w:val="00BE58A7"/>
    <w:rsid w:val="00BF2218"/>
    <w:rsid w:val="00C0426B"/>
    <w:rsid w:val="00C045DF"/>
    <w:rsid w:val="00C26D43"/>
    <w:rsid w:val="00C35173"/>
    <w:rsid w:val="00C46548"/>
    <w:rsid w:val="00C574D5"/>
    <w:rsid w:val="00C73F32"/>
    <w:rsid w:val="00C87462"/>
    <w:rsid w:val="00CA180C"/>
    <w:rsid w:val="00CA1D00"/>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0474D"/>
    <w:rsid w:val="00E10BC4"/>
    <w:rsid w:val="00E1415D"/>
    <w:rsid w:val="00E213BD"/>
    <w:rsid w:val="00E323E9"/>
    <w:rsid w:val="00E32FB6"/>
    <w:rsid w:val="00E34018"/>
    <w:rsid w:val="00E437D2"/>
    <w:rsid w:val="00E43BF9"/>
    <w:rsid w:val="00E50952"/>
    <w:rsid w:val="00E51930"/>
    <w:rsid w:val="00E55751"/>
    <w:rsid w:val="00E7398E"/>
    <w:rsid w:val="00EA2311"/>
    <w:rsid w:val="00EC7BC3"/>
    <w:rsid w:val="00ED7600"/>
    <w:rsid w:val="00EF6073"/>
    <w:rsid w:val="00EF698B"/>
    <w:rsid w:val="00F045BB"/>
    <w:rsid w:val="00F1362C"/>
    <w:rsid w:val="00F414F1"/>
    <w:rsid w:val="00F508B8"/>
    <w:rsid w:val="00F72CB1"/>
    <w:rsid w:val="00F8215E"/>
    <w:rsid w:val="00F824F5"/>
    <w:rsid w:val="00F90FAB"/>
    <w:rsid w:val="00F9374D"/>
    <w:rsid w:val="00FC29B9"/>
    <w:rsid w:val="00FC6FD3"/>
    <w:rsid w:val="00FE1FED"/>
    <w:rsid w:val="00FE305C"/>
    <w:rsid w:val="00FF0301"/>
    <w:rsid w:val="00FF457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A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95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0474D"/>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PlaceholderText">
    <w:name w:val="Placeholder Text"/>
    <w:basedOn w:val="DefaultParagraphFont"/>
    <w:uiPriority w:val="99"/>
    <w:semiHidden/>
    <w:rsid w:val="005F2D2C"/>
    <w:rPr>
      <w:color w:val="666666"/>
    </w:rPr>
  </w:style>
  <w:style w:type="character" w:customStyle="1" w:styleId="CaptionChar1">
    <w:name w:val="Caption Char1"/>
    <w:aliases w:val="cap Char1,cap Char Char,Caption Char Char,Caption Char1 Char Char,cap Char Char1 Char,Caption Char Char1 Char Char,cap Char2 Char,题注 Char"/>
    <w:uiPriority w:val="35"/>
    <w:rsid w:val="00074890"/>
    <w:rPr>
      <w:rFonts w:asciiTheme="minorHAnsi" w:eastAsiaTheme="minorHAnsi" w:hAnsiTheme="minorHAnsi" w:cstheme="minorBidi"/>
      <w:b/>
      <w:sz w:val="22"/>
      <w:szCs w:val="22"/>
      <w:lang w:val="da-DK"/>
    </w:rPr>
  </w:style>
  <w:style w:type="paragraph" w:styleId="Header">
    <w:name w:val="header"/>
    <w:basedOn w:val="Normal"/>
    <w:link w:val="HeaderChar"/>
    <w:uiPriority w:val="99"/>
    <w:unhideWhenUsed/>
    <w:rsid w:val="00F045B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45BB"/>
    <w:rPr>
      <w:rFonts w:ascii="Times New Roman" w:hAnsi="Times New Roman"/>
      <w:sz w:val="20"/>
      <w:lang w:val="en-GB"/>
    </w:rPr>
  </w:style>
  <w:style w:type="paragraph" w:styleId="Footer">
    <w:name w:val="footer"/>
    <w:basedOn w:val="Normal"/>
    <w:link w:val="FooterChar"/>
    <w:uiPriority w:val="99"/>
    <w:unhideWhenUsed/>
    <w:rsid w:val="00F045B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45BB"/>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76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RBI5PAMIO524-1616901215-18780</_dlc_DocId>
    <HideFromDelve xmlns="71c5aaf6-e6ce-465b-b873-5148d2a4c105">false</HideFromDelve>
    <Comments xmlns="3f2ce089-3858-4176-9a21-a30f9204848e">OK</Comments>
    <_dlc_DocIdUrl xmlns="71c5aaf6-e6ce-465b-b873-5148d2a4c105">
      <Url>https://nokia.sharepoint.com/sites/gxp/_layouts/15/DocIdRedir.aspx?ID=RBI5PAMIO524-1616901215-18780</Url>
      <Description>RBI5PAMIO524-1616901215-18780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E7CF5F13-406C-460C-9A35-5A2238950D76}">
  <ds:schemaRefs>
    <ds:schemaRef ds:uri="Microsoft.SharePoint.Taxonomy.ContentTypeSync"/>
  </ds:schemaRefs>
</ds:datastoreItem>
</file>

<file path=customXml/itemProps3.xml><?xml version="1.0" encoding="utf-8"?>
<ds:datastoreItem xmlns:ds="http://schemas.openxmlformats.org/officeDocument/2006/customXml" ds:itemID="{8C3C44FF-C35F-4AEE-8CA0-4FA96D837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F9159-E22E-4D10-910D-3756CEB5379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E494A85-30C8-4B7B-BE66-B827CE1C3145}">
  <ds:schemaRefs>
    <ds:schemaRef ds:uri="http://schemas.microsoft.com/sharepoint/v3/contenttype/forms"/>
  </ds:schemaRefs>
</ds:datastoreItem>
</file>

<file path=customXml/itemProps6.xml><?xml version="1.0" encoding="utf-8"?>
<ds:datastoreItem xmlns:ds="http://schemas.openxmlformats.org/officeDocument/2006/customXml" ds:itemID="{EAB30CD2-C6CD-4B17-8F70-5DBC79FE796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1976</Words>
  <Characters>11264</Characters>
  <Application>Microsoft Office Word</Application>
  <DocSecurity>0</DocSecurity>
  <Lines>93</Lines>
  <Paragraphs>26</Paragraphs>
  <ScaleCrop>false</ScaleCrop>
  <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2024-04-08T18:05:00Z</dcterms:created>
  <dcterms:modified xsi:type="dcterms:W3CDTF">2024-04-08T18:09:00Z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35907341-0012-4f09-81af-1379eb336eb7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